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50F1" w:rsidR="00B250F1" w:rsidP="00B250F1" w:rsidRDefault="007D3C75" w14:paraId="47405DB6" w14:textId="1D1B6FB4">
      <w:pPr>
        <w:jc w:val="center"/>
        <w:rPr>
          <w:b/>
          <w:bCs/>
        </w:rPr>
      </w:pPr>
      <w:r w:rsidRPr="00B250F1">
        <w:rPr>
          <w:b/>
          <w:bCs/>
        </w:rPr>
        <w:t xml:space="preserve">Serious Incidents and the </w:t>
      </w:r>
      <w:r w:rsidRPr="00B250F1" w:rsidR="00B250F1">
        <w:rPr>
          <w:b/>
          <w:bCs/>
        </w:rPr>
        <w:t xml:space="preserve">Annual </w:t>
      </w:r>
      <w:r w:rsidRPr="00B250F1">
        <w:rPr>
          <w:b/>
          <w:bCs/>
        </w:rPr>
        <w:t>Systemic</w:t>
      </w:r>
    </w:p>
    <w:p w:rsidRPr="00B250F1" w:rsidR="007D3C75" w:rsidP="00B250F1" w:rsidRDefault="007D3C75" w14:paraId="43A01C85" w14:textId="4099075C">
      <w:pPr>
        <w:jc w:val="center"/>
        <w:rPr>
          <w:b/>
          <w:bCs/>
          <w:spacing w:val="-2"/>
        </w:rPr>
      </w:pPr>
      <w:r w:rsidRPr="00B250F1">
        <w:rPr>
          <w:b/>
          <w:bCs/>
        </w:rPr>
        <w:t>Risk Assessment 160.C</w:t>
      </w:r>
      <w:r w:rsidRPr="00B250F1" w:rsidR="00B250F1">
        <w:rPr>
          <w:b/>
          <w:bCs/>
        </w:rPr>
        <w:t xml:space="preserve">, </w:t>
      </w:r>
      <w:r w:rsidRPr="00B250F1">
        <w:rPr>
          <w:b/>
          <w:bCs/>
        </w:rPr>
        <w:t>520.C.1-5</w:t>
      </w:r>
      <w:r w:rsidRPr="00B250F1">
        <w:rPr>
          <w:b/>
          <w:bCs/>
          <w:spacing w:val="-2"/>
        </w:rPr>
        <w:t xml:space="preserve"> </w:t>
      </w:r>
      <w:r w:rsidRPr="00B250F1" w:rsidR="00B250F1">
        <w:rPr>
          <w:b/>
          <w:bCs/>
          <w:spacing w:val="-2"/>
        </w:rPr>
        <w:t>and 520.D</w:t>
      </w:r>
    </w:p>
    <w:p w:rsidRPr="00B250F1" w:rsidR="006607A1" w:rsidP="00B250F1" w:rsidRDefault="00000000" w14:paraId="2281DDA9" w14:textId="49BC2C63">
      <w:pPr>
        <w:jc w:val="center"/>
        <w:rPr>
          <w:b/>
          <w:bCs/>
        </w:rPr>
      </w:pPr>
      <w:r w:rsidRPr="00B250F1">
        <w:rPr>
          <w:b/>
          <w:bCs/>
        </w:rPr>
        <w:t>(January</w:t>
      </w:r>
      <w:r w:rsidRPr="00B250F1">
        <w:rPr>
          <w:b/>
          <w:bCs/>
          <w:spacing w:val="-5"/>
        </w:rPr>
        <w:t xml:space="preserve"> </w:t>
      </w:r>
      <w:r w:rsidRPr="00B250F1">
        <w:rPr>
          <w:b/>
          <w:bCs/>
          <w:spacing w:val="-2"/>
        </w:rPr>
        <w:t>202</w:t>
      </w:r>
      <w:r w:rsidRPr="00B250F1" w:rsidR="007D3C75">
        <w:rPr>
          <w:b/>
          <w:bCs/>
          <w:spacing w:val="-2"/>
        </w:rPr>
        <w:t>4</w:t>
      </w:r>
      <w:r w:rsidRPr="00B250F1">
        <w:rPr>
          <w:b/>
          <w:bCs/>
          <w:spacing w:val="-2"/>
        </w:rPr>
        <w:t>)</w:t>
      </w:r>
    </w:p>
    <w:p w:rsidR="006607A1" w:rsidRDefault="006607A1" w14:paraId="6B216D3D" w14:textId="77777777">
      <w:pPr>
        <w:spacing w:before="10" w:after="1"/>
        <w:rPr>
          <w:b/>
          <w:sz w:val="14"/>
        </w:rPr>
      </w:pPr>
    </w:p>
    <w:tbl>
      <w:tblPr>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147"/>
        <w:gridCol w:w="2700"/>
        <w:gridCol w:w="3510"/>
        <w:gridCol w:w="3456"/>
      </w:tblGrid>
      <w:tr w:rsidRPr="002D3014" w:rsidR="006607A1" w:rsidTr="54304272" w14:paraId="49E79242" w14:textId="77777777">
        <w:trPr>
          <w:trHeight w:val="810"/>
        </w:trPr>
        <w:tc>
          <w:tcPr>
            <w:tcW w:w="10813" w:type="dxa"/>
            <w:gridSpan w:val="4"/>
            <w:tcMar/>
          </w:tcPr>
          <w:p w:rsidRPr="002D3014" w:rsidR="006607A1" w:rsidP="54304272" w:rsidRDefault="00000000" w14:paraId="59270B41" w14:textId="5C8C6D84">
            <w:pPr>
              <w:pStyle w:val="TableParagraph"/>
              <w:ind w:left="157"/>
              <w:rPr>
                <w:rFonts w:ascii="Calibri" w:hAnsi="Calibri" w:cs="Calibri" w:asciiTheme="minorAscii" w:hAnsiTheme="minorAscii" w:cstheme="minorAscii"/>
              </w:rPr>
            </w:pPr>
            <w:r w:rsidRPr="54304272" w:rsidR="00000000">
              <w:rPr>
                <w:rFonts w:ascii="Calibri" w:hAnsi="Calibri" w:cs="Calibri" w:asciiTheme="minorAscii" w:hAnsiTheme="minorAscii" w:cstheme="minorAscii"/>
                <w:b w:val="1"/>
                <w:bCs w:val="1"/>
              </w:rPr>
              <w:t>Purpose:</w:t>
            </w:r>
            <w:r w:rsidRPr="54304272" w:rsidR="00000000">
              <w:rPr>
                <w:rFonts w:ascii="Calibri" w:hAnsi="Calibri" w:cs="Calibri" w:asciiTheme="minorAscii" w:hAnsiTheme="minorAscii" w:cstheme="minorAscii"/>
                <w:b w:val="1"/>
                <w:bCs w:val="1"/>
                <w:spacing w:val="50"/>
              </w:rPr>
              <w:t xml:space="preserve"> </w:t>
            </w:r>
            <w:r w:rsidRPr="54304272" w:rsidR="00000000">
              <w:rPr>
                <w:rFonts w:ascii="Calibri" w:hAnsi="Calibri" w:cs="Calibri" w:asciiTheme="minorAscii" w:hAnsiTheme="minorAscii" w:cstheme="minorAscii"/>
              </w:rPr>
              <w:t>The</w:t>
            </w:r>
            <w:r w:rsidRPr="54304272" w:rsidR="00000000">
              <w:rPr>
                <w:rFonts w:ascii="Calibri" w:hAnsi="Calibri" w:cs="Calibri" w:asciiTheme="minorAscii" w:hAnsiTheme="minorAscii" w:cstheme="minorAscii"/>
                <w:spacing w:val="11"/>
              </w:rPr>
              <w:t xml:space="preserve"> </w:t>
            </w:r>
            <w:r w:rsidRPr="54304272" w:rsidR="00000000">
              <w:rPr>
                <w:rFonts w:ascii="Calibri" w:hAnsi="Calibri" w:cs="Calibri" w:asciiTheme="minorAscii" w:hAnsiTheme="minorAscii" w:cstheme="minorAscii"/>
              </w:rPr>
              <w:t>purpose</w:t>
            </w:r>
            <w:r w:rsidRPr="54304272" w:rsidR="00000000">
              <w:rPr>
                <w:rFonts w:ascii="Calibri" w:hAnsi="Calibri" w:cs="Calibri" w:asciiTheme="minorAscii" w:hAnsiTheme="minorAscii" w:cstheme="minorAscii"/>
                <w:spacing w:val="11"/>
              </w:rPr>
              <w:t xml:space="preserve"> </w:t>
            </w:r>
            <w:r w:rsidRPr="54304272" w:rsidR="00000000">
              <w:rPr>
                <w:rFonts w:ascii="Calibri" w:hAnsi="Calibri" w:cs="Calibri" w:asciiTheme="minorAscii" w:hAnsiTheme="minorAscii" w:cstheme="minorAscii"/>
              </w:rPr>
              <w:t>of</w:t>
            </w:r>
            <w:r w:rsidRPr="54304272" w:rsidR="00000000">
              <w:rPr>
                <w:rFonts w:ascii="Calibri" w:hAnsi="Calibri" w:cs="Calibri" w:asciiTheme="minorAscii" w:hAnsiTheme="minorAscii" w:cstheme="minorAscii"/>
                <w:spacing w:val="8"/>
              </w:rPr>
              <w:t xml:space="preserve"> </w:t>
            </w:r>
            <w:r w:rsidRPr="54304272" w:rsidR="00000000">
              <w:rPr>
                <w:rFonts w:ascii="Calibri" w:hAnsi="Calibri" w:cs="Calibri" w:asciiTheme="minorAscii" w:hAnsiTheme="minorAscii" w:cstheme="minorAscii"/>
              </w:rPr>
              <w:t>this</w:t>
            </w:r>
            <w:r w:rsidRPr="54304272" w:rsidR="00000000">
              <w:rPr>
                <w:rFonts w:ascii="Calibri" w:hAnsi="Calibri" w:cs="Calibri" w:asciiTheme="minorAscii" w:hAnsiTheme="minorAscii" w:cstheme="minorAscii"/>
                <w:spacing w:val="4"/>
              </w:rPr>
              <w:t xml:space="preserve"> </w:t>
            </w:r>
            <w:r w:rsidRPr="54304272" w:rsidR="00000000">
              <w:rPr>
                <w:rFonts w:ascii="Calibri" w:hAnsi="Calibri" w:cs="Calibri" w:asciiTheme="minorAscii" w:hAnsiTheme="minorAscii" w:cstheme="minorAscii"/>
              </w:rPr>
              <w:t>document is</w:t>
            </w:r>
            <w:r w:rsidRPr="54304272" w:rsidR="00000000">
              <w:rPr>
                <w:rFonts w:ascii="Calibri" w:hAnsi="Calibri" w:cs="Calibri" w:asciiTheme="minorAscii" w:hAnsiTheme="minorAscii" w:cstheme="minorAscii"/>
                <w:spacing w:val="4"/>
              </w:rPr>
              <w:t xml:space="preserve"> </w:t>
            </w:r>
            <w:r w:rsidRPr="54304272" w:rsidR="00000000">
              <w:rPr>
                <w:rFonts w:ascii="Calibri" w:hAnsi="Calibri" w:cs="Calibri" w:asciiTheme="minorAscii" w:hAnsiTheme="minorAscii" w:cstheme="minorAscii"/>
              </w:rPr>
              <w:t>to</w:t>
            </w:r>
            <w:r w:rsidRPr="54304272" w:rsidR="00000000">
              <w:rPr>
                <w:rFonts w:ascii="Calibri" w:hAnsi="Calibri" w:cs="Calibri" w:asciiTheme="minorAscii" w:hAnsiTheme="minorAscii" w:cstheme="minorAscii"/>
                <w:spacing w:val="3"/>
              </w:rPr>
              <w:t xml:space="preserve"> </w:t>
            </w:r>
            <w:r w:rsidRPr="54304272" w:rsidR="00000000">
              <w:rPr>
                <w:rFonts w:ascii="Calibri" w:hAnsi="Calibri" w:cs="Calibri" w:asciiTheme="minorAscii" w:hAnsiTheme="minorAscii" w:cstheme="minorAscii"/>
              </w:rPr>
              <w:t>assist the</w:t>
            </w:r>
            <w:r w:rsidRPr="54304272" w:rsidR="00000000">
              <w:rPr>
                <w:rFonts w:ascii="Calibri" w:hAnsi="Calibri" w:cs="Calibri" w:asciiTheme="minorAscii" w:hAnsiTheme="minorAscii" w:cstheme="minorAscii"/>
                <w:spacing w:val="11"/>
              </w:rPr>
              <w:t xml:space="preserve"> </w:t>
            </w:r>
            <w:r w:rsidRPr="54304272" w:rsidR="00000000">
              <w:rPr>
                <w:rFonts w:ascii="Calibri" w:hAnsi="Calibri" w:cs="Calibri" w:asciiTheme="minorAscii" w:hAnsiTheme="minorAscii" w:cstheme="minorAscii"/>
              </w:rPr>
              <w:t>Licensing Specialist with</w:t>
            </w:r>
            <w:r w:rsidRPr="54304272" w:rsidR="00000000">
              <w:rPr>
                <w:rFonts w:ascii="Calibri" w:hAnsi="Calibri" w:cs="Calibri" w:asciiTheme="minorAscii" w:hAnsiTheme="minorAscii" w:cstheme="minorAscii"/>
                <w:spacing w:val="22"/>
              </w:rPr>
              <w:t xml:space="preserve"> </w:t>
            </w:r>
            <w:r w:rsidRPr="54304272" w:rsidR="00000000">
              <w:rPr>
                <w:rFonts w:ascii="Calibri" w:hAnsi="Calibri" w:cs="Calibri" w:asciiTheme="minorAscii" w:hAnsiTheme="minorAscii" w:cstheme="minorAscii"/>
                <w:color w:val="1F2023"/>
              </w:rPr>
              <w:t>assessing</w:t>
            </w:r>
            <w:r w:rsidRPr="54304272" w:rsidR="00000000">
              <w:rPr>
                <w:rFonts w:ascii="Calibri" w:hAnsi="Calibri" w:cs="Calibri" w:asciiTheme="minorAscii" w:hAnsiTheme="minorAscii" w:cstheme="minorAscii"/>
                <w:color w:val="1F2023"/>
                <w:spacing w:val="3"/>
              </w:rPr>
              <w:t xml:space="preserve"> </w:t>
            </w:r>
            <w:r w:rsidRPr="54304272" w:rsidR="007D3C75">
              <w:rPr>
                <w:rFonts w:ascii="Calibri" w:hAnsi="Calibri" w:cs="Calibri" w:asciiTheme="minorAscii" w:hAnsiTheme="minorAscii" w:cstheme="minorAscii"/>
                <w:color w:val="1F2023"/>
              </w:rPr>
              <w:t>the provider’s quarterly review of serious incidents and each component of the annual systemic risk assessment.</w:t>
            </w:r>
          </w:p>
        </w:tc>
      </w:tr>
      <w:tr w:rsidRPr="002D3014" w:rsidR="006607A1" w:rsidTr="54304272" w14:paraId="6E284082" w14:textId="77777777">
        <w:trPr>
          <w:trHeight w:val="1351"/>
        </w:trPr>
        <w:tc>
          <w:tcPr>
            <w:tcW w:w="10813" w:type="dxa"/>
            <w:gridSpan w:val="4"/>
            <w:tcMar/>
          </w:tcPr>
          <w:p w:rsidRPr="002D3014" w:rsidR="006607A1" w:rsidRDefault="00000000" w14:paraId="53E2B90E" w14:textId="79062721">
            <w:pPr>
              <w:pStyle w:val="TableParagraph"/>
              <w:spacing w:before="1" w:line="263" w:lineRule="exact"/>
              <w:ind w:left="202"/>
              <w:rPr>
                <w:rFonts w:asciiTheme="minorHAnsi" w:hAnsiTheme="minorHAnsi" w:cstheme="minorHAnsi"/>
                <w:b/>
              </w:rPr>
            </w:pPr>
            <w:r w:rsidRPr="002D3014">
              <w:rPr>
                <w:rFonts w:asciiTheme="minorHAnsi" w:hAnsiTheme="minorHAnsi" w:cstheme="minorHAnsi"/>
                <w:b/>
                <w:spacing w:val="-2"/>
              </w:rPr>
              <w:t>Definition</w:t>
            </w:r>
            <w:r w:rsidRPr="002D3014" w:rsidR="007D3C75">
              <w:rPr>
                <w:rFonts w:asciiTheme="minorHAnsi" w:hAnsiTheme="minorHAnsi" w:cstheme="minorHAnsi"/>
                <w:b/>
                <w:spacing w:val="-2"/>
              </w:rPr>
              <w:t>s</w:t>
            </w:r>
            <w:r w:rsidRPr="002D3014">
              <w:rPr>
                <w:rFonts w:asciiTheme="minorHAnsi" w:hAnsiTheme="minorHAnsi" w:cstheme="minorHAnsi"/>
                <w:b/>
                <w:spacing w:val="-2"/>
              </w:rPr>
              <w:t>:</w:t>
            </w:r>
          </w:p>
          <w:p w:rsidRPr="002D3014" w:rsidR="007D3C75" w:rsidP="007D3C75" w:rsidRDefault="007D3C75" w14:paraId="43129CA6" w14:textId="77777777">
            <w:pPr>
              <w:pStyle w:val="ListParagraph"/>
              <w:widowControl/>
              <w:numPr>
                <w:ilvl w:val="0"/>
                <w:numId w:val="12"/>
              </w:numPr>
              <w:adjustRightInd w:val="0"/>
              <w:rPr>
                <w:rFonts w:asciiTheme="minorHAnsi" w:hAnsiTheme="minorHAnsi" w:eastAsiaTheme="minorHAnsi" w:cstheme="minorHAnsi"/>
              </w:rPr>
            </w:pPr>
            <w:r w:rsidRPr="00203C99">
              <w:rPr>
                <w:rFonts w:asciiTheme="minorHAnsi" w:hAnsiTheme="minorHAnsi" w:eastAsiaTheme="minorHAnsi" w:cstheme="minorHAnsi"/>
                <w:b/>
                <w:bCs/>
              </w:rPr>
              <w:t>"Serious incident"</w:t>
            </w:r>
            <w:r w:rsidRPr="002D3014">
              <w:rPr>
                <w:rFonts w:asciiTheme="minorHAnsi" w:hAnsiTheme="minorHAnsi" w:eastAsiaTheme="minorHAnsi" w:cstheme="minorHAnsi"/>
              </w:rPr>
              <w:t xml:space="preserve"> means any event or circumstance that causes or could cause harm to the health, safety, or well-being of an individual. The term "serious incident" includes death and serious injury.</w:t>
            </w:r>
          </w:p>
          <w:p w:rsidRPr="002D3014" w:rsidR="007D3C75" w:rsidP="007D3C75" w:rsidRDefault="007D3C75" w14:paraId="2A322F69" w14:textId="49CA6FB1">
            <w:pPr>
              <w:pStyle w:val="ListParagraph"/>
              <w:widowControl/>
              <w:numPr>
                <w:ilvl w:val="0"/>
                <w:numId w:val="12"/>
              </w:numPr>
              <w:adjustRightInd w:val="0"/>
              <w:rPr>
                <w:rFonts w:asciiTheme="minorHAnsi" w:hAnsiTheme="minorHAnsi" w:eastAsiaTheme="minorHAnsi" w:cstheme="minorHAnsi"/>
              </w:rPr>
            </w:pPr>
            <w:r w:rsidRPr="00203C99">
              <w:rPr>
                <w:rFonts w:asciiTheme="minorHAnsi" w:hAnsiTheme="minorHAnsi" w:eastAsiaTheme="minorHAnsi" w:cstheme="minorHAnsi"/>
                <w:b/>
                <w:bCs/>
              </w:rPr>
              <w:t>"Level I serious incident"</w:t>
            </w:r>
            <w:r w:rsidRPr="002D3014">
              <w:rPr>
                <w:rFonts w:asciiTheme="minorHAnsi" w:hAnsiTheme="minorHAnsi" w:eastAsiaTheme="minorHAnsi" w:cstheme="minorHAnsi"/>
              </w:rPr>
              <w:t xml:space="preserve"> means a serious incident that occurs or originates during the provision of a service or on the premises of the provider and does not meet the definition of a Level II or Level III serious incident. Level I serious incidents do not result in significant harm to </w:t>
            </w:r>
            <w:proofErr w:type="gramStart"/>
            <w:r w:rsidRPr="002D3014">
              <w:rPr>
                <w:rFonts w:asciiTheme="minorHAnsi" w:hAnsiTheme="minorHAnsi" w:eastAsiaTheme="minorHAnsi" w:cstheme="minorHAnsi"/>
              </w:rPr>
              <w:t>individuals, but</w:t>
            </w:r>
            <w:proofErr w:type="gramEnd"/>
            <w:r w:rsidRPr="002D3014">
              <w:rPr>
                <w:rFonts w:asciiTheme="minorHAnsi" w:hAnsiTheme="minorHAnsi" w:eastAsiaTheme="minorHAnsi" w:cstheme="minorHAnsi"/>
              </w:rPr>
              <w:t xml:space="preserve"> may include events that result in minor injuries that do not require medical attention or events that have the potential to cause serious injury, even when no injury occurs. "Level II serious incident" means a serious incident that occurs or originates during the provision of a service or on the premises of the provider that results in a significant harm or threat to the health and safety of an individual that does not meet the definition of a Level III serious incident.</w:t>
            </w:r>
          </w:p>
          <w:p w:rsidRPr="002D3014" w:rsidR="007D3C75" w:rsidP="007D3C75" w:rsidRDefault="007D3C75" w14:paraId="6542E819" w14:textId="77777777">
            <w:pPr>
              <w:pStyle w:val="ListParagraph"/>
              <w:widowControl/>
              <w:numPr>
                <w:ilvl w:val="0"/>
                <w:numId w:val="12"/>
              </w:numPr>
              <w:adjustRightInd w:val="0"/>
              <w:rPr>
                <w:rFonts w:asciiTheme="minorHAnsi" w:hAnsiTheme="minorHAnsi" w:eastAsiaTheme="minorHAnsi" w:cstheme="minorHAnsi"/>
              </w:rPr>
            </w:pPr>
            <w:r w:rsidRPr="00203C99">
              <w:rPr>
                <w:rFonts w:asciiTheme="minorHAnsi" w:hAnsiTheme="minorHAnsi" w:eastAsiaTheme="minorHAnsi" w:cstheme="minorHAnsi"/>
                <w:b/>
                <w:bCs/>
              </w:rPr>
              <w:t>"Level II serious incident"</w:t>
            </w:r>
            <w:r w:rsidRPr="002D3014">
              <w:rPr>
                <w:rFonts w:asciiTheme="minorHAnsi" w:hAnsiTheme="minorHAnsi" w:eastAsiaTheme="minorHAnsi" w:cstheme="minorHAnsi"/>
              </w:rPr>
              <w:t xml:space="preserve"> includes a significant harm or threat to the health or safety of others caused by an individual. Level II serious incidents include:</w:t>
            </w:r>
          </w:p>
          <w:p w:rsidRPr="002D3014" w:rsidR="007D3C75" w:rsidP="007D3C75" w:rsidRDefault="007D3C75" w14:paraId="1A29B875" w14:textId="7E9640DA">
            <w:pPr>
              <w:pStyle w:val="ListParagraph"/>
              <w:widowControl/>
              <w:adjustRightInd w:val="0"/>
              <w:ind w:left="1440"/>
              <w:rPr>
                <w:rFonts w:asciiTheme="minorHAnsi" w:hAnsiTheme="minorHAnsi" w:eastAsiaTheme="minorHAnsi" w:cstheme="minorHAnsi"/>
              </w:rPr>
            </w:pPr>
            <w:r w:rsidRPr="002D3014">
              <w:rPr>
                <w:rFonts w:asciiTheme="minorHAnsi" w:hAnsiTheme="minorHAnsi" w:eastAsiaTheme="minorHAnsi" w:cstheme="minorHAnsi"/>
              </w:rPr>
              <w:t xml:space="preserve">1. A serious </w:t>
            </w:r>
            <w:proofErr w:type="gramStart"/>
            <w:r w:rsidRPr="002D3014">
              <w:rPr>
                <w:rFonts w:asciiTheme="minorHAnsi" w:hAnsiTheme="minorHAnsi" w:eastAsiaTheme="minorHAnsi" w:cstheme="minorHAnsi"/>
              </w:rPr>
              <w:t>injury;</w:t>
            </w:r>
            <w:proofErr w:type="gramEnd"/>
          </w:p>
          <w:p w:rsidRPr="002D3014" w:rsidR="007D3C75" w:rsidP="007D3C75" w:rsidRDefault="007D3C75" w14:paraId="4D962177" w14:textId="77777777">
            <w:pPr>
              <w:widowControl/>
              <w:adjustRightInd w:val="0"/>
              <w:ind w:left="1440"/>
              <w:rPr>
                <w:rFonts w:asciiTheme="minorHAnsi" w:hAnsiTheme="minorHAnsi" w:eastAsiaTheme="minorHAnsi" w:cstheme="minorHAnsi"/>
              </w:rPr>
            </w:pPr>
            <w:r w:rsidRPr="002D3014">
              <w:rPr>
                <w:rFonts w:asciiTheme="minorHAnsi" w:hAnsiTheme="minorHAnsi" w:eastAsiaTheme="minorHAnsi" w:cstheme="minorHAnsi"/>
              </w:rPr>
              <w:t xml:space="preserve">2. An individual who is or was </w:t>
            </w:r>
            <w:proofErr w:type="gramStart"/>
            <w:r w:rsidRPr="002D3014">
              <w:rPr>
                <w:rFonts w:asciiTheme="minorHAnsi" w:hAnsiTheme="minorHAnsi" w:eastAsiaTheme="minorHAnsi" w:cstheme="minorHAnsi"/>
              </w:rPr>
              <w:t>missing;</w:t>
            </w:r>
            <w:proofErr w:type="gramEnd"/>
          </w:p>
          <w:p w:rsidRPr="002D3014" w:rsidR="007D3C75" w:rsidP="007D3C75" w:rsidRDefault="007D3C75" w14:paraId="138EBE94" w14:textId="77777777">
            <w:pPr>
              <w:widowControl/>
              <w:adjustRightInd w:val="0"/>
              <w:ind w:left="1440"/>
              <w:rPr>
                <w:rFonts w:asciiTheme="minorHAnsi" w:hAnsiTheme="minorHAnsi" w:eastAsiaTheme="minorHAnsi" w:cstheme="minorHAnsi"/>
              </w:rPr>
            </w:pPr>
            <w:r w:rsidRPr="002D3014">
              <w:rPr>
                <w:rFonts w:asciiTheme="minorHAnsi" w:hAnsiTheme="minorHAnsi" w:eastAsiaTheme="minorHAnsi" w:cstheme="minorHAnsi"/>
              </w:rPr>
              <w:t xml:space="preserve">3. An emergency room </w:t>
            </w:r>
            <w:proofErr w:type="gramStart"/>
            <w:r w:rsidRPr="002D3014">
              <w:rPr>
                <w:rFonts w:asciiTheme="minorHAnsi" w:hAnsiTheme="minorHAnsi" w:eastAsiaTheme="minorHAnsi" w:cstheme="minorHAnsi"/>
              </w:rPr>
              <w:t>visit;</w:t>
            </w:r>
            <w:proofErr w:type="gramEnd"/>
          </w:p>
          <w:p w:rsidRPr="002D3014" w:rsidR="00BD0040" w:rsidP="00BD0040" w:rsidRDefault="007D3C75" w14:paraId="26293087" w14:textId="77777777">
            <w:pPr>
              <w:widowControl/>
              <w:adjustRightInd w:val="0"/>
              <w:ind w:left="1440"/>
              <w:rPr>
                <w:rFonts w:asciiTheme="minorHAnsi" w:hAnsiTheme="minorHAnsi" w:eastAsiaTheme="minorHAnsi" w:cstheme="minorHAnsi"/>
              </w:rPr>
            </w:pPr>
            <w:r w:rsidRPr="002D3014">
              <w:rPr>
                <w:rFonts w:asciiTheme="minorHAnsi" w:hAnsiTheme="minorHAnsi" w:eastAsiaTheme="minorHAnsi" w:cstheme="minorHAnsi"/>
              </w:rPr>
              <w:t>4. An unplanned psychiatric or unplanned medical hospital admission of an individual</w:t>
            </w:r>
            <w:r w:rsidRPr="002D3014" w:rsidR="00BD0040">
              <w:rPr>
                <w:rFonts w:asciiTheme="minorHAnsi" w:hAnsiTheme="minorHAnsi" w:eastAsiaTheme="minorHAnsi" w:cstheme="minorHAnsi"/>
              </w:rPr>
              <w:t xml:space="preserve"> </w:t>
            </w:r>
            <w:r w:rsidRPr="002D3014">
              <w:rPr>
                <w:rFonts w:asciiTheme="minorHAnsi" w:hAnsiTheme="minorHAnsi" w:eastAsiaTheme="minorHAnsi" w:cstheme="minorHAnsi"/>
              </w:rPr>
              <w:t>receiving services other than licensed emergency services, except that a psychiatric admission</w:t>
            </w:r>
            <w:r w:rsidRPr="002D3014" w:rsidR="00BD0040">
              <w:rPr>
                <w:rFonts w:asciiTheme="minorHAnsi" w:hAnsiTheme="minorHAnsi" w:eastAsiaTheme="minorHAnsi" w:cstheme="minorHAnsi"/>
              </w:rPr>
              <w:t xml:space="preserve"> </w:t>
            </w:r>
            <w:r w:rsidRPr="002D3014">
              <w:rPr>
                <w:rFonts w:asciiTheme="minorHAnsi" w:hAnsiTheme="minorHAnsi" w:eastAsiaTheme="minorHAnsi" w:cstheme="minorHAnsi"/>
              </w:rPr>
              <w:t>in accordance with the individual's Wellness Recovery Action Plan shall not constitute an</w:t>
            </w:r>
            <w:r w:rsidRPr="002D3014" w:rsidR="00BD0040">
              <w:rPr>
                <w:rFonts w:asciiTheme="minorHAnsi" w:hAnsiTheme="minorHAnsi" w:eastAsiaTheme="minorHAnsi" w:cstheme="minorHAnsi"/>
              </w:rPr>
              <w:t xml:space="preserve"> </w:t>
            </w:r>
            <w:r w:rsidRPr="002D3014">
              <w:rPr>
                <w:rFonts w:asciiTheme="minorHAnsi" w:hAnsiTheme="minorHAnsi" w:eastAsiaTheme="minorHAnsi" w:cstheme="minorHAnsi"/>
              </w:rPr>
              <w:t xml:space="preserve">unplanned admission for the purposes of this </w:t>
            </w:r>
            <w:proofErr w:type="gramStart"/>
            <w:r w:rsidRPr="002D3014">
              <w:rPr>
                <w:rFonts w:asciiTheme="minorHAnsi" w:hAnsiTheme="minorHAnsi" w:eastAsiaTheme="minorHAnsi" w:cstheme="minorHAnsi"/>
              </w:rPr>
              <w:t>chapter;</w:t>
            </w:r>
            <w:proofErr w:type="gramEnd"/>
          </w:p>
          <w:p w:rsidRPr="002D3014" w:rsidR="00BD0040" w:rsidP="00BD0040" w:rsidRDefault="007D3C75" w14:paraId="0711A2D6" w14:textId="77777777">
            <w:pPr>
              <w:widowControl/>
              <w:adjustRightInd w:val="0"/>
              <w:ind w:left="1440"/>
              <w:rPr>
                <w:rFonts w:asciiTheme="minorHAnsi" w:hAnsiTheme="minorHAnsi" w:eastAsiaTheme="minorHAnsi" w:cstheme="minorHAnsi"/>
              </w:rPr>
            </w:pPr>
            <w:r w:rsidRPr="002D3014">
              <w:rPr>
                <w:rFonts w:asciiTheme="minorHAnsi" w:hAnsiTheme="minorHAnsi" w:eastAsiaTheme="minorHAnsi" w:cstheme="minorHAnsi"/>
              </w:rPr>
              <w:t xml:space="preserve">5. Choking incidents that require direct physical intervention by another </w:t>
            </w:r>
            <w:proofErr w:type="gramStart"/>
            <w:r w:rsidRPr="002D3014">
              <w:rPr>
                <w:rFonts w:asciiTheme="minorHAnsi" w:hAnsiTheme="minorHAnsi" w:eastAsiaTheme="minorHAnsi" w:cstheme="minorHAnsi"/>
              </w:rPr>
              <w:t>person;</w:t>
            </w:r>
            <w:proofErr w:type="gramEnd"/>
          </w:p>
          <w:p w:rsidRPr="002D3014" w:rsidR="00BD0040" w:rsidP="00BD0040" w:rsidRDefault="007D3C75" w14:paraId="52673374" w14:textId="77777777">
            <w:pPr>
              <w:widowControl/>
              <w:adjustRightInd w:val="0"/>
              <w:ind w:left="1440"/>
              <w:rPr>
                <w:rFonts w:asciiTheme="minorHAnsi" w:hAnsiTheme="minorHAnsi" w:eastAsiaTheme="minorHAnsi" w:cstheme="minorHAnsi"/>
              </w:rPr>
            </w:pPr>
            <w:r w:rsidRPr="002D3014">
              <w:rPr>
                <w:rFonts w:asciiTheme="minorHAnsi" w:hAnsiTheme="minorHAnsi" w:eastAsiaTheme="minorHAnsi" w:cstheme="minorHAnsi"/>
              </w:rPr>
              <w:t>6. Ingestion of any hazardous material; or</w:t>
            </w:r>
          </w:p>
          <w:p w:rsidRPr="002D3014" w:rsidR="007D3C75" w:rsidP="00BD0040" w:rsidRDefault="007D3C75" w14:paraId="52DDB0E3" w14:textId="101A0CBC">
            <w:pPr>
              <w:widowControl/>
              <w:adjustRightInd w:val="0"/>
              <w:ind w:left="1440"/>
              <w:rPr>
                <w:rFonts w:asciiTheme="minorHAnsi" w:hAnsiTheme="minorHAnsi" w:eastAsiaTheme="minorHAnsi" w:cstheme="minorHAnsi"/>
              </w:rPr>
            </w:pPr>
            <w:r w:rsidRPr="002D3014">
              <w:rPr>
                <w:rFonts w:asciiTheme="minorHAnsi" w:hAnsiTheme="minorHAnsi" w:eastAsiaTheme="minorHAnsi" w:cstheme="minorHAnsi"/>
              </w:rPr>
              <w:t>7. A diagnosis of:</w:t>
            </w:r>
          </w:p>
          <w:p w:rsidRPr="002D3014" w:rsidR="00BD0040" w:rsidP="00BD0040" w:rsidRDefault="007D3C75" w14:paraId="68762CA3" w14:textId="77777777">
            <w:pPr>
              <w:widowControl/>
              <w:adjustRightInd w:val="0"/>
              <w:ind w:left="2160"/>
              <w:rPr>
                <w:rFonts w:asciiTheme="minorHAnsi" w:hAnsiTheme="minorHAnsi" w:eastAsiaTheme="minorHAnsi" w:cstheme="minorHAnsi"/>
              </w:rPr>
            </w:pPr>
            <w:r w:rsidRPr="002D3014">
              <w:rPr>
                <w:rFonts w:asciiTheme="minorHAnsi" w:hAnsiTheme="minorHAnsi" w:eastAsiaTheme="minorHAnsi" w:cstheme="minorHAnsi"/>
              </w:rPr>
              <w:t>a. A decubitus ulcer or an increase in severity of level of previously diagnosed decubitus</w:t>
            </w:r>
            <w:r w:rsidRPr="002D3014" w:rsidR="00BD0040">
              <w:rPr>
                <w:rFonts w:asciiTheme="minorHAnsi" w:hAnsiTheme="minorHAnsi" w:eastAsiaTheme="minorHAnsi" w:cstheme="minorHAnsi"/>
              </w:rPr>
              <w:t xml:space="preserve"> </w:t>
            </w:r>
            <w:proofErr w:type="gramStart"/>
            <w:r w:rsidRPr="002D3014">
              <w:rPr>
                <w:rFonts w:asciiTheme="minorHAnsi" w:hAnsiTheme="minorHAnsi" w:eastAsiaTheme="minorHAnsi" w:cstheme="minorHAnsi"/>
              </w:rPr>
              <w:t>ulcer;</w:t>
            </w:r>
            <w:proofErr w:type="gramEnd"/>
          </w:p>
          <w:p w:rsidRPr="002D3014" w:rsidR="00BD0040" w:rsidP="00BD0040" w:rsidRDefault="007D3C75" w14:paraId="65BAFE4D" w14:textId="77777777">
            <w:pPr>
              <w:widowControl/>
              <w:adjustRightInd w:val="0"/>
              <w:ind w:left="2160"/>
              <w:rPr>
                <w:rFonts w:asciiTheme="minorHAnsi" w:hAnsiTheme="minorHAnsi" w:eastAsiaTheme="minorHAnsi" w:cstheme="minorHAnsi"/>
              </w:rPr>
            </w:pPr>
            <w:r w:rsidRPr="002D3014">
              <w:rPr>
                <w:rFonts w:asciiTheme="minorHAnsi" w:hAnsiTheme="minorHAnsi" w:eastAsiaTheme="minorHAnsi" w:cstheme="minorHAnsi"/>
              </w:rPr>
              <w:t>b. A bowel obstruction; or</w:t>
            </w:r>
          </w:p>
          <w:p w:rsidRPr="002D3014" w:rsidR="00BD0040" w:rsidP="00BD0040" w:rsidRDefault="007D3C75" w14:paraId="02E8CD07" w14:textId="6568EF46">
            <w:pPr>
              <w:widowControl/>
              <w:adjustRightInd w:val="0"/>
              <w:ind w:left="2160"/>
              <w:rPr>
                <w:rFonts w:asciiTheme="minorHAnsi" w:hAnsiTheme="minorHAnsi" w:eastAsiaTheme="minorHAnsi" w:cstheme="minorHAnsi"/>
              </w:rPr>
            </w:pPr>
            <w:r w:rsidRPr="002D3014">
              <w:rPr>
                <w:rFonts w:asciiTheme="minorHAnsi" w:hAnsiTheme="minorHAnsi" w:eastAsiaTheme="minorHAnsi" w:cstheme="minorHAnsi"/>
              </w:rPr>
              <w:t>c. Aspiration pneumonia.</w:t>
            </w:r>
          </w:p>
          <w:p w:rsidRPr="002D3014" w:rsidR="00BD0040" w:rsidP="007D3C75" w:rsidRDefault="007D3C75" w14:paraId="7E936DA9" w14:textId="77777777">
            <w:pPr>
              <w:pStyle w:val="ListParagraph"/>
              <w:widowControl/>
              <w:numPr>
                <w:ilvl w:val="0"/>
                <w:numId w:val="13"/>
              </w:numPr>
              <w:adjustRightInd w:val="0"/>
              <w:rPr>
                <w:rFonts w:asciiTheme="minorHAnsi" w:hAnsiTheme="minorHAnsi" w:eastAsiaTheme="minorHAnsi" w:cstheme="minorHAnsi"/>
              </w:rPr>
            </w:pPr>
            <w:r w:rsidRPr="00203C99">
              <w:rPr>
                <w:rFonts w:asciiTheme="minorHAnsi" w:hAnsiTheme="minorHAnsi" w:eastAsiaTheme="minorHAnsi" w:cstheme="minorHAnsi"/>
                <w:b/>
                <w:bCs/>
              </w:rPr>
              <w:t>"Level III serious incident"</w:t>
            </w:r>
            <w:r w:rsidRPr="002D3014">
              <w:rPr>
                <w:rFonts w:asciiTheme="minorHAnsi" w:hAnsiTheme="minorHAnsi" w:eastAsiaTheme="minorHAnsi" w:cstheme="minorHAnsi"/>
              </w:rPr>
              <w:t xml:space="preserve"> means a serious incident </w:t>
            </w:r>
            <w:proofErr w:type="gramStart"/>
            <w:r w:rsidRPr="002D3014">
              <w:rPr>
                <w:rFonts w:asciiTheme="minorHAnsi" w:hAnsiTheme="minorHAnsi" w:eastAsiaTheme="minorHAnsi" w:cstheme="minorHAnsi"/>
              </w:rPr>
              <w:t>whether or not</w:t>
            </w:r>
            <w:proofErr w:type="gramEnd"/>
            <w:r w:rsidRPr="002D3014">
              <w:rPr>
                <w:rFonts w:asciiTheme="minorHAnsi" w:hAnsiTheme="minorHAnsi" w:eastAsiaTheme="minorHAnsi" w:cstheme="minorHAnsi"/>
              </w:rPr>
              <w:t xml:space="preserve"> the incident occurs while in</w:t>
            </w:r>
            <w:r w:rsidRPr="002D3014" w:rsidR="00BD0040">
              <w:rPr>
                <w:rFonts w:asciiTheme="minorHAnsi" w:hAnsiTheme="minorHAnsi" w:eastAsiaTheme="minorHAnsi" w:cstheme="minorHAnsi"/>
              </w:rPr>
              <w:t xml:space="preserve"> </w:t>
            </w:r>
            <w:r w:rsidRPr="002D3014">
              <w:rPr>
                <w:rFonts w:asciiTheme="minorHAnsi" w:hAnsiTheme="minorHAnsi" w:eastAsiaTheme="minorHAnsi" w:cstheme="minorHAnsi"/>
              </w:rPr>
              <w:t>the provision of a service or on the provider's premises and results in:</w:t>
            </w:r>
          </w:p>
          <w:p w:rsidRPr="002D3014" w:rsidR="00BD0040" w:rsidP="00BD0040" w:rsidRDefault="007D3C75" w14:paraId="129B8169" w14:textId="77777777">
            <w:pPr>
              <w:pStyle w:val="ListParagraph"/>
              <w:widowControl/>
              <w:adjustRightInd w:val="0"/>
              <w:ind w:left="1440"/>
              <w:rPr>
                <w:rFonts w:asciiTheme="minorHAnsi" w:hAnsiTheme="minorHAnsi" w:eastAsiaTheme="minorHAnsi" w:cstheme="minorHAnsi"/>
              </w:rPr>
            </w:pPr>
            <w:r w:rsidRPr="002D3014">
              <w:rPr>
                <w:rFonts w:asciiTheme="minorHAnsi" w:hAnsiTheme="minorHAnsi" w:eastAsiaTheme="minorHAnsi" w:cstheme="minorHAnsi"/>
              </w:rPr>
              <w:t xml:space="preserve">1. Any death of an </w:t>
            </w:r>
            <w:proofErr w:type="gramStart"/>
            <w:r w:rsidRPr="002D3014">
              <w:rPr>
                <w:rFonts w:asciiTheme="minorHAnsi" w:hAnsiTheme="minorHAnsi" w:eastAsiaTheme="minorHAnsi" w:cstheme="minorHAnsi"/>
              </w:rPr>
              <w:t>individual;</w:t>
            </w:r>
            <w:proofErr w:type="gramEnd"/>
          </w:p>
          <w:p w:rsidRPr="002D3014" w:rsidR="00BD0040" w:rsidP="00BD0040" w:rsidRDefault="007D3C75" w14:paraId="59D99C38" w14:textId="77777777">
            <w:pPr>
              <w:pStyle w:val="ListParagraph"/>
              <w:widowControl/>
              <w:adjustRightInd w:val="0"/>
              <w:ind w:left="1440"/>
              <w:rPr>
                <w:rFonts w:asciiTheme="minorHAnsi" w:hAnsiTheme="minorHAnsi" w:eastAsiaTheme="minorHAnsi" w:cstheme="minorHAnsi"/>
              </w:rPr>
            </w:pPr>
            <w:r w:rsidRPr="002D3014">
              <w:rPr>
                <w:rFonts w:asciiTheme="minorHAnsi" w:hAnsiTheme="minorHAnsi" w:eastAsiaTheme="minorHAnsi" w:cstheme="minorHAnsi"/>
              </w:rPr>
              <w:t>2. A sexual assault of an individual; or</w:t>
            </w:r>
          </w:p>
          <w:p w:rsidRPr="002D3014" w:rsidR="00BD0040" w:rsidP="00BD0040" w:rsidRDefault="007D3C75" w14:paraId="7CC9F0AC" w14:textId="05B0422D">
            <w:pPr>
              <w:pStyle w:val="ListParagraph"/>
              <w:widowControl/>
              <w:adjustRightInd w:val="0"/>
              <w:ind w:left="1440"/>
              <w:rPr>
                <w:rFonts w:asciiTheme="minorHAnsi" w:hAnsiTheme="minorHAnsi" w:eastAsiaTheme="minorHAnsi" w:cstheme="minorHAnsi"/>
              </w:rPr>
            </w:pPr>
            <w:r w:rsidRPr="002D3014">
              <w:rPr>
                <w:rFonts w:asciiTheme="minorHAnsi" w:hAnsiTheme="minorHAnsi" w:eastAsiaTheme="minorHAnsi" w:cstheme="minorHAnsi"/>
              </w:rPr>
              <w:t>3. A suicide attempt by an individual admitted for services, other than licensed emergency</w:t>
            </w:r>
            <w:r w:rsidRPr="002D3014" w:rsidR="00BD0040">
              <w:rPr>
                <w:rFonts w:asciiTheme="minorHAnsi" w:hAnsiTheme="minorHAnsi" w:eastAsiaTheme="minorHAnsi" w:cstheme="minorHAnsi"/>
              </w:rPr>
              <w:t xml:space="preserve"> </w:t>
            </w:r>
            <w:r w:rsidRPr="002D3014">
              <w:rPr>
                <w:rFonts w:asciiTheme="minorHAnsi" w:hAnsiTheme="minorHAnsi" w:eastAsiaTheme="minorHAnsi" w:cstheme="minorHAnsi"/>
              </w:rPr>
              <w:t>services, that results in a hospital admission.</w:t>
            </w:r>
          </w:p>
          <w:p w:rsidRPr="002D3014" w:rsidR="00BD0040" w:rsidP="007D3C75" w:rsidRDefault="007D3C75" w14:paraId="785674DC" w14:textId="77777777">
            <w:pPr>
              <w:pStyle w:val="ListParagraph"/>
              <w:widowControl/>
              <w:numPr>
                <w:ilvl w:val="0"/>
                <w:numId w:val="13"/>
              </w:numPr>
              <w:adjustRightInd w:val="0"/>
              <w:rPr>
                <w:rFonts w:asciiTheme="minorHAnsi" w:hAnsiTheme="minorHAnsi" w:eastAsiaTheme="minorHAnsi" w:cstheme="minorHAnsi"/>
              </w:rPr>
            </w:pPr>
            <w:r w:rsidRPr="00203C99">
              <w:rPr>
                <w:rFonts w:asciiTheme="minorHAnsi" w:hAnsiTheme="minorHAnsi" w:eastAsiaTheme="minorHAnsi" w:cstheme="minorHAnsi"/>
                <w:b/>
                <w:bCs/>
              </w:rPr>
              <w:t>"Serious injury"</w:t>
            </w:r>
            <w:r w:rsidRPr="002D3014">
              <w:rPr>
                <w:rFonts w:asciiTheme="minorHAnsi" w:hAnsiTheme="minorHAnsi" w:eastAsiaTheme="minorHAnsi" w:cstheme="minorHAnsi"/>
              </w:rPr>
              <w:t xml:space="preserve"> means any injury resulting in bodily hurt, damage, harm, or loss that </w:t>
            </w:r>
            <w:proofErr w:type="gramStart"/>
            <w:r w:rsidRPr="002D3014">
              <w:rPr>
                <w:rFonts w:asciiTheme="minorHAnsi" w:hAnsiTheme="minorHAnsi" w:eastAsiaTheme="minorHAnsi" w:cstheme="minorHAnsi"/>
              </w:rPr>
              <w:t>requires</w:t>
            </w:r>
            <w:proofErr w:type="gramEnd"/>
          </w:p>
          <w:p w:rsidRPr="002D3014" w:rsidR="00B16AD2" w:rsidP="002D3014" w:rsidRDefault="007D3C75" w14:paraId="67AD4C05" w14:textId="1F29D747">
            <w:pPr>
              <w:pStyle w:val="ListParagraph"/>
              <w:widowControl/>
              <w:adjustRightInd w:val="0"/>
              <w:ind w:left="720"/>
              <w:rPr>
                <w:rFonts w:asciiTheme="minorHAnsi" w:hAnsiTheme="minorHAnsi" w:eastAsiaTheme="minorHAnsi" w:cstheme="minorHAnsi"/>
              </w:rPr>
            </w:pPr>
            <w:r w:rsidRPr="002D3014">
              <w:rPr>
                <w:rFonts w:asciiTheme="minorHAnsi" w:hAnsiTheme="minorHAnsi" w:eastAsiaTheme="minorHAnsi" w:cstheme="minorHAnsi"/>
              </w:rPr>
              <w:t xml:space="preserve">medical attention by a licensed physician, </w:t>
            </w:r>
            <w:proofErr w:type="gramStart"/>
            <w:r w:rsidRPr="002D3014">
              <w:rPr>
                <w:rFonts w:asciiTheme="minorHAnsi" w:hAnsiTheme="minorHAnsi" w:eastAsiaTheme="minorHAnsi" w:cstheme="minorHAnsi"/>
              </w:rPr>
              <w:t>doctor of osteopathic medicine</w:t>
            </w:r>
            <w:proofErr w:type="gramEnd"/>
            <w:r w:rsidRPr="002D3014">
              <w:rPr>
                <w:rFonts w:asciiTheme="minorHAnsi" w:hAnsiTheme="minorHAnsi" w:eastAsiaTheme="minorHAnsi" w:cstheme="minorHAnsi"/>
              </w:rPr>
              <w:t>, physician assistant,</w:t>
            </w:r>
            <w:r w:rsidRPr="002D3014" w:rsidR="00BD0040">
              <w:rPr>
                <w:rFonts w:asciiTheme="minorHAnsi" w:hAnsiTheme="minorHAnsi" w:eastAsiaTheme="minorHAnsi" w:cstheme="minorHAnsi"/>
              </w:rPr>
              <w:t xml:space="preserve"> </w:t>
            </w:r>
            <w:r w:rsidRPr="002D3014">
              <w:rPr>
                <w:rFonts w:asciiTheme="minorHAnsi" w:hAnsiTheme="minorHAnsi" w:eastAsiaTheme="minorHAnsi" w:cstheme="minorHAnsi"/>
              </w:rPr>
              <w:t>or</w:t>
            </w:r>
            <w:r w:rsidRPr="002D3014" w:rsidR="00BD0040">
              <w:rPr>
                <w:rFonts w:asciiTheme="minorHAnsi" w:hAnsiTheme="minorHAnsi" w:eastAsiaTheme="minorHAnsi" w:cstheme="minorHAnsi"/>
              </w:rPr>
              <w:t xml:space="preserve"> </w:t>
            </w:r>
            <w:r w:rsidRPr="002D3014">
              <w:rPr>
                <w:rFonts w:asciiTheme="minorHAnsi" w:hAnsiTheme="minorHAnsi" w:eastAsiaTheme="minorHAnsi" w:cstheme="minorHAnsi"/>
              </w:rPr>
              <w:t>nurse practitioner.</w:t>
            </w:r>
          </w:p>
          <w:p w:rsidRPr="002D3014" w:rsidR="00BD0040" w:rsidP="002D3014" w:rsidRDefault="00203C99" w14:paraId="3BE22813" w14:textId="43AB41F7">
            <w:pPr>
              <w:pStyle w:val="ListParagraph"/>
              <w:numPr>
                <w:ilvl w:val="0"/>
                <w:numId w:val="13"/>
              </w:numPr>
              <w:adjustRightInd w:val="0"/>
              <w:rPr>
                <w:rFonts w:asciiTheme="minorHAnsi" w:hAnsiTheme="minorHAnsi" w:eastAsiaTheme="minorHAnsi" w:cstheme="minorHAnsi"/>
              </w:rPr>
            </w:pPr>
            <w:r>
              <w:rPr>
                <w:rFonts w:asciiTheme="minorHAnsi" w:hAnsiTheme="minorHAnsi" w:eastAsiaTheme="minorHAnsi" w:cstheme="minorHAnsi"/>
                <w:b/>
                <w:bCs/>
              </w:rPr>
              <w:t>S</w:t>
            </w:r>
            <w:r w:rsidRPr="00203C99" w:rsidR="00B16AD2">
              <w:rPr>
                <w:rFonts w:asciiTheme="minorHAnsi" w:hAnsiTheme="minorHAnsi" w:eastAsiaTheme="minorHAnsi" w:cstheme="minorHAnsi"/>
                <w:b/>
                <w:bCs/>
              </w:rPr>
              <w:t xml:space="preserve">ystemic </w:t>
            </w:r>
            <w:r>
              <w:rPr>
                <w:rFonts w:asciiTheme="minorHAnsi" w:hAnsiTheme="minorHAnsi" w:eastAsiaTheme="minorHAnsi" w:cstheme="minorHAnsi"/>
                <w:b/>
                <w:bCs/>
              </w:rPr>
              <w:t>R</w:t>
            </w:r>
            <w:r w:rsidRPr="00203C99" w:rsidR="00B16AD2">
              <w:rPr>
                <w:rFonts w:asciiTheme="minorHAnsi" w:hAnsiTheme="minorHAnsi" w:eastAsiaTheme="minorHAnsi" w:cstheme="minorHAnsi"/>
                <w:b/>
                <w:bCs/>
              </w:rPr>
              <w:t xml:space="preserve">isk </w:t>
            </w:r>
            <w:r>
              <w:rPr>
                <w:rFonts w:asciiTheme="minorHAnsi" w:hAnsiTheme="minorHAnsi" w:eastAsiaTheme="minorHAnsi" w:cstheme="minorHAnsi"/>
                <w:b/>
                <w:bCs/>
              </w:rPr>
              <w:t>A</w:t>
            </w:r>
            <w:r w:rsidRPr="00203C99" w:rsidR="00B16AD2">
              <w:rPr>
                <w:rFonts w:asciiTheme="minorHAnsi" w:hAnsiTheme="minorHAnsi" w:eastAsiaTheme="minorHAnsi" w:cstheme="minorHAnsi"/>
                <w:b/>
                <w:bCs/>
              </w:rPr>
              <w:t>ssessment (SRA)</w:t>
            </w:r>
            <w:r w:rsidRPr="002D3014" w:rsidR="00B16AD2">
              <w:rPr>
                <w:rFonts w:asciiTheme="minorHAnsi" w:hAnsiTheme="minorHAnsi" w:eastAsiaTheme="minorHAnsi" w:cstheme="minorHAnsi"/>
              </w:rPr>
              <w:t xml:space="preserve"> is a tool used for careful examination of what the provider identifies as internal and external factors or situations that could cause harm to individuals served or that could negatively impact the organization. The risk assessment should lead to a better understanding of actual or potential risks and how best to minimize those risks. Systemic risk assessments vary depending on numerous factors such as an organization’s size, population served, location, or business model.  The risk assessment process is focused on identifying both existing and potential harms and risks of harm.   The systemic risk assessment is a tool you should use to inform your risk management systems.  </w:t>
            </w:r>
          </w:p>
        </w:tc>
      </w:tr>
      <w:tr w:rsidRPr="002D3014" w:rsidR="006607A1" w:rsidTr="54304272" w14:paraId="217904A8" w14:textId="77777777">
        <w:trPr>
          <w:trHeight w:val="2972"/>
        </w:trPr>
        <w:tc>
          <w:tcPr>
            <w:tcW w:w="10813" w:type="dxa"/>
            <w:gridSpan w:val="4"/>
            <w:tcMar/>
          </w:tcPr>
          <w:p w:rsidRPr="00203C99" w:rsidR="00BD0040" w:rsidP="00203C99" w:rsidRDefault="00000000" w14:paraId="0CE6EAA6" w14:textId="41A5DEBE">
            <w:pPr>
              <w:pStyle w:val="TableParagraph"/>
              <w:spacing w:before="1"/>
              <w:ind w:left="157"/>
              <w:rPr>
                <w:rFonts w:asciiTheme="minorHAnsi" w:hAnsiTheme="minorHAnsi" w:cstheme="minorHAnsi"/>
                <w:b/>
                <w:spacing w:val="-2"/>
              </w:rPr>
            </w:pPr>
            <w:r w:rsidRPr="002D3014">
              <w:rPr>
                <w:rFonts w:asciiTheme="minorHAnsi" w:hAnsiTheme="minorHAnsi" w:cstheme="minorHAnsi"/>
                <w:b/>
                <w:spacing w:val="-2"/>
              </w:rPr>
              <w:lastRenderedPageBreak/>
              <w:t>Regulation</w:t>
            </w:r>
            <w:r w:rsidRPr="002D3014" w:rsidR="007D3C75">
              <w:rPr>
                <w:rFonts w:asciiTheme="minorHAnsi" w:hAnsiTheme="minorHAnsi" w:cstheme="minorHAnsi"/>
                <w:b/>
                <w:spacing w:val="-2"/>
              </w:rPr>
              <w:t>s</w:t>
            </w:r>
            <w:r w:rsidRPr="002D3014">
              <w:rPr>
                <w:rFonts w:asciiTheme="minorHAnsi" w:hAnsiTheme="minorHAnsi" w:cstheme="minorHAnsi"/>
                <w:b/>
                <w:spacing w:val="-2"/>
              </w:rPr>
              <w:t>:</w:t>
            </w:r>
          </w:p>
          <w:p w:rsidRPr="002D3014" w:rsidR="006607A1" w:rsidP="00BD0040" w:rsidRDefault="00BD0040" w14:paraId="4AFDA98D" w14:textId="77777777">
            <w:pPr>
              <w:pStyle w:val="ListParagraph"/>
              <w:widowControl/>
              <w:numPr>
                <w:ilvl w:val="0"/>
                <w:numId w:val="13"/>
              </w:numPr>
              <w:adjustRightInd w:val="0"/>
              <w:rPr>
                <w:rFonts w:asciiTheme="minorHAnsi" w:hAnsiTheme="minorHAnsi" w:eastAsiaTheme="minorHAnsi" w:cstheme="minorHAnsi"/>
              </w:rPr>
            </w:pPr>
            <w:r w:rsidRPr="00203C99">
              <w:rPr>
                <w:rFonts w:asciiTheme="minorHAnsi" w:hAnsiTheme="minorHAnsi" w:eastAsiaTheme="minorHAnsi" w:cstheme="minorHAnsi"/>
                <w:b/>
                <w:bCs/>
              </w:rPr>
              <w:t>160.C:</w:t>
            </w:r>
            <w:r w:rsidRPr="002D3014">
              <w:rPr>
                <w:rFonts w:asciiTheme="minorHAnsi" w:hAnsiTheme="minorHAnsi" w:eastAsiaTheme="minorHAnsi" w:cstheme="minorHAnsi"/>
              </w:rPr>
              <w:t xml:space="preserve"> The provider shall collect, maintain, and review at least quarterly all serious incidents, including Level I serious incidents, as part of the quality improvement program in accordance with 12VAC35-105-620 to include an analysis of trends, potential systemic issues or causes, indicated remediation, and documentation of steps taken to mitigate the potential for future incidents.</w:t>
            </w:r>
          </w:p>
          <w:p w:rsidRPr="002D3014" w:rsidR="00BD0040" w:rsidP="00BD0040" w:rsidRDefault="00BD0040" w14:paraId="33D9294A" w14:textId="77777777">
            <w:pPr>
              <w:pStyle w:val="ListParagraph"/>
              <w:widowControl/>
              <w:numPr>
                <w:ilvl w:val="0"/>
                <w:numId w:val="13"/>
              </w:numPr>
              <w:adjustRightInd w:val="0"/>
              <w:rPr>
                <w:rFonts w:asciiTheme="minorHAnsi" w:hAnsiTheme="minorHAnsi" w:eastAsiaTheme="minorHAnsi" w:cstheme="minorHAnsi"/>
              </w:rPr>
            </w:pPr>
            <w:r w:rsidRPr="00203C99">
              <w:rPr>
                <w:rFonts w:asciiTheme="minorHAnsi" w:hAnsiTheme="minorHAnsi" w:eastAsiaTheme="minorHAnsi" w:cstheme="minorHAnsi"/>
                <w:b/>
                <w:bCs/>
              </w:rPr>
              <w:t>520.C:</w:t>
            </w:r>
            <w:r w:rsidRPr="002D3014">
              <w:rPr>
                <w:rFonts w:asciiTheme="minorHAnsi" w:hAnsiTheme="minorHAnsi" w:eastAsiaTheme="minorHAnsi" w:cstheme="minorHAnsi"/>
              </w:rPr>
              <w:t xml:space="preserve">  The provider shall conduct systemic risk assessment reviews at least annually to identify and respond to practices, situations, and policies that could result in the risk of harm to individuals receiving services. The risk assessment review shall address at least the following:</w:t>
            </w:r>
          </w:p>
          <w:p w:rsidRPr="002D3014" w:rsidR="00BD0040" w:rsidP="00BD0040" w:rsidRDefault="00BD0040" w14:paraId="7F020D9D" w14:textId="191ACA8C">
            <w:pPr>
              <w:pStyle w:val="ListParagraph"/>
              <w:widowControl/>
              <w:adjustRightInd w:val="0"/>
              <w:ind w:left="1440"/>
              <w:rPr>
                <w:rFonts w:asciiTheme="minorHAnsi" w:hAnsiTheme="minorHAnsi" w:eastAsiaTheme="minorHAnsi" w:cstheme="minorHAnsi"/>
              </w:rPr>
            </w:pPr>
            <w:r w:rsidRPr="00203C99">
              <w:rPr>
                <w:rFonts w:asciiTheme="minorHAnsi" w:hAnsiTheme="minorHAnsi" w:eastAsiaTheme="minorHAnsi" w:cstheme="minorHAnsi"/>
                <w:b/>
                <w:bCs/>
              </w:rPr>
              <w:t>1.</w:t>
            </w:r>
            <w:r w:rsidRPr="002D3014">
              <w:rPr>
                <w:rFonts w:asciiTheme="minorHAnsi" w:hAnsiTheme="minorHAnsi" w:eastAsiaTheme="minorHAnsi" w:cstheme="minorHAnsi"/>
              </w:rPr>
              <w:t xml:space="preserve"> The environment of </w:t>
            </w:r>
            <w:proofErr w:type="gramStart"/>
            <w:r w:rsidRPr="002D3014">
              <w:rPr>
                <w:rFonts w:asciiTheme="minorHAnsi" w:hAnsiTheme="minorHAnsi" w:eastAsiaTheme="minorHAnsi" w:cstheme="minorHAnsi"/>
              </w:rPr>
              <w:t>care;</w:t>
            </w:r>
            <w:proofErr w:type="gramEnd"/>
          </w:p>
          <w:p w:rsidRPr="002D3014" w:rsidR="00BD0040" w:rsidP="00BD0040" w:rsidRDefault="00BD0040" w14:paraId="0CD14B55" w14:textId="77777777">
            <w:pPr>
              <w:widowControl/>
              <w:adjustRightInd w:val="0"/>
              <w:ind w:left="1440"/>
              <w:rPr>
                <w:rFonts w:asciiTheme="minorHAnsi" w:hAnsiTheme="minorHAnsi" w:eastAsiaTheme="minorHAnsi" w:cstheme="minorHAnsi"/>
              </w:rPr>
            </w:pPr>
            <w:r w:rsidRPr="00203C99">
              <w:rPr>
                <w:rFonts w:asciiTheme="minorHAnsi" w:hAnsiTheme="minorHAnsi" w:eastAsiaTheme="minorHAnsi" w:cstheme="minorHAnsi"/>
                <w:b/>
                <w:bCs/>
              </w:rPr>
              <w:t>2.</w:t>
            </w:r>
            <w:r w:rsidRPr="002D3014">
              <w:rPr>
                <w:rFonts w:asciiTheme="minorHAnsi" w:hAnsiTheme="minorHAnsi" w:eastAsiaTheme="minorHAnsi" w:cstheme="minorHAnsi"/>
              </w:rPr>
              <w:t xml:space="preserve"> Clinical assessment or reassessment </w:t>
            </w:r>
            <w:proofErr w:type="gramStart"/>
            <w:r w:rsidRPr="002D3014">
              <w:rPr>
                <w:rFonts w:asciiTheme="minorHAnsi" w:hAnsiTheme="minorHAnsi" w:eastAsiaTheme="minorHAnsi" w:cstheme="minorHAnsi"/>
              </w:rPr>
              <w:t>processes;</w:t>
            </w:r>
            <w:proofErr w:type="gramEnd"/>
          </w:p>
          <w:p w:rsidRPr="002D3014" w:rsidR="00BD0040" w:rsidP="00BD0040" w:rsidRDefault="00BD0040" w14:paraId="5443A2C4" w14:textId="77777777">
            <w:pPr>
              <w:widowControl/>
              <w:adjustRightInd w:val="0"/>
              <w:ind w:left="1440"/>
              <w:rPr>
                <w:rFonts w:asciiTheme="minorHAnsi" w:hAnsiTheme="minorHAnsi" w:eastAsiaTheme="minorHAnsi" w:cstheme="minorHAnsi"/>
              </w:rPr>
            </w:pPr>
            <w:r w:rsidRPr="00203C99">
              <w:rPr>
                <w:rFonts w:asciiTheme="minorHAnsi" w:hAnsiTheme="minorHAnsi" w:eastAsiaTheme="minorHAnsi" w:cstheme="minorHAnsi"/>
                <w:b/>
                <w:bCs/>
              </w:rPr>
              <w:t>3.</w:t>
            </w:r>
            <w:r w:rsidRPr="002D3014">
              <w:rPr>
                <w:rFonts w:asciiTheme="minorHAnsi" w:hAnsiTheme="minorHAnsi" w:eastAsiaTheme="minorHAnsi" w:cstheme="minorHAnsi"/>
              </w:rPr>
              <w:t xml:space="preserve"> Staff competence and adequacy of </w:t>
            </w:r>
            <w:proofErr w:type="gramStart"/>
            <w:r w:rsidRPr="002D3014">
              <w:rPr>
                <w:rFonts w:asciiTheme="minorHAnsi" w:hAnsiTheme="minorHAnsi" w:eastAsiaTheme="minorHAnsi" w:cstheme="minorHAnsi"/>
              </w:rPr>
              <w:t>staffing;</w:t>
            </w:r>
            <w:proofErr w:type="gramEnd"/>
          </w:p>
          <w:p w:rsidRPr="002D3014" w:rsidR="00BD0040" w:rsidP="00BD0040" w:rsidRDefault="00BD0040" w14:paraId="41C81D75" w14:textId="77777777">
            <w:pPr>
              <w:widowControl/>
              <w:adjustRightInd w:val="0"/>
              <w:ind w:left="1440"/>
              <w:rPr>
                <w:rFonts w:asciiTheme="minorHAnsi" w:hAnsiTheme="minorHAnsi" w:eastAsiaTheme="minorHAnsi" w:cstheme="minorHAnsi"/>
              </w:rPr>
            </w:pPr>
            <w:r w:rsidRPr="00203C99">
              <w:rPr>
                <w:rFonts w:asciiTheme="minorHAnsi" w:hAnsiTheme="minorHAnsi" w:eastAsiaTheme="minorHAnsi" w:cstheme="minorHAnsi"/>
                <w:b/>
                <w:bCs/>
              </w:rPr>
              <w:t>4.</w:t>
            </w:r>
            <w:r w:rsidRPr="002D3014">
              <w:rPr>
                <w:rFonts w:asciiTheme="minorHAnsi" w:hAnsiTheme="minorHAnsi" w:eastAsiaTheme="minorHAnsi" w:cstheme="minorHAnsi"/>
              </w:rPr>
              <w:t xml:space="preserve"> Use of </w:t>
            </w:r>
            <w:proofErr w:type="gramStart"/>
            <w:r w:rsidRPr="002D3014">
              <w:rPr>
                <w:rFonts w:asciiTheme="minorHAnsi" w:hAnsiTheme="minorHAnsi" w:eastAsiaTheme="minorHAnsi" w:cstheme="minorHAnsi"/>
              </w:rPr>
              <w:t>high risk</w:t>
            </w:r>
            <w:proofErr w:type="gramEnd"/>
            <w:r w:rsidRPr="002D3014">
              <w:rPr>
                <w:rFonts w:asciiTheme="minorHAnsi" w:hAnsiTheme="minorHAnsi" w:eastAsiaTheme="minorHAnsi" w:cstheme="minorHAnsi"/>
              </w:rPr>
              <w:t xml:space="preserve"> procedures, including seclusion and restraint; and</w:t>
            </w:r>
          </w:p>
          <w:p w:rsidRPr="002D3014" w:rsidR="00BD0040" w:rsidP="00BD0040" w:rsidRDefault="00BD0040" w14:paraId="351EECB1" w14:textId="77777777">
            <w:pPr>
              <w:widowControl/>
              <w:adjustRightInd w:val="0"/>
              <w:ind w:left="1440"/>
              <w:rPr>
                <w:rFonts w:asciiTheme="minorHAnsi" w:hAnsiTheme="minorHAnsi" w:eastAsiaTheme="minorHAnsi" w:cstheme="minorHAnsi"/>
              </w:rPr>
            </w:pPr>
            <w:r w:rsidRPr="00203C99">
              <w:rPr>
                <w:rFonts w:asciiTheme="minorHAnsi" w:hAnsiTheme="minorHAnsi" w:eastAsiaTheme="minorHAnsi" w:cstheme="minorHAnsi"/>
                <w:b/>
                <w:bCs/>
              </w:rPr>
              <w:t>5.</w:t>
            </w:r>
            <w:r w:rsidRPr="002D3014">
              <w:rPr>
                <w:rFonts w:asciiTheme="minorHAnsi" w:hAnsiTheme="minorHAnsi" w:eastAsiaTheme="minorHAnsi" w:cstheme="minorHAnsi"/>
              </w:rPr>
              <w:t xml:space="preserve"> A review of serious incidents.</w:t>
            </w:r>
          </w:p>
          <w:p w:rsidRPr="002D3014" w:rsidR="00BD0040" w:rsidP="00BD0040" w:rsidRDefault="00BD0040" w14:paraId="70DE769B" w14:textId="1FE958FB">
            <w:pPr>
              <w:pStyle w:val="ListParagraph"/>
              <w:widowControl/>
              <w:numPr>
                <w:ilvl w:val="0"/>
                <w:numId w:val="14"/>
              </w:numPr>
              <w:adjustRightInd w:val="0"/>
              <w:rPr>
                <w:rFonts w:asciiTheme="minorHAnsi" w:hAnsiTheme="minorHAnsi" w:eastAsiaTheme="minorHAnsi" w:cstheme="minorHAnsi"/>
              </w:rPr>
            </w:pPr>
            <w:r w:rsidRPr="00203C99">
              <w:rPr>
                <w:rFonts w:asciiTheme="minorHAnsi" w:hAnsiTheme="minorHAnsi" w:eastAsiaTheme="minorHAnsi" w:cstheme="minorHAnsi"/>
                <w:b/>
                <w:bCs/>
              </w:rPr>
              <w:t>520.D:</w:t>
            </w:r>
            <w:r w:rsidRPr="002D3014">
              <w:rPr>
                <w:rFonts w:asciiTheme="minorHAnsi" w:hAnsiTheme="minorHAnsi" w:eastAsiaTheme="minorHAnsi" w:cstheme="minorHAnsi"/>
              </w:rPr>
              <w:t xml:space="preserve">  The systemic risk assessment process shall incorporate uniform risk triggers and thresholds as defined by the department.</w:t>
            </w:r>
          </w:p>
        </w:tc>
      </w:tr>
      <w:tr w:rsidRPr="002D3014" w:rsidR="002D3014" w:rsidTr="54304272" w14:paraId="00DD1C91" w14:textId="77777777">
        <w:trPr>
          <w:trHeight w:val="761"/>
        </w:trPr>
        <w:tc>
          <w:tcPr>
            <w:tcW w:w="10813" w:type="dxa"/>
            <w:gridSpan w:val="4"/>
            <w:tcMar/>
          </w:tcPr>
          <w:p w:rsidR="00203C99" w:rsidP="00203C99" w:rsidRDefault="002D3014" w14:paraId="42CF1AE4" w14:textId="36A740DA">
            <w:pPr>
              <w:pStyle w:val="TableParagraph"/>
              <w:spacing w:before="1"/>
              <w:ind w:left="0"/>
              <w:rPr>
                <w:rFonts w:asciiTheme="minorHAnsi" w:hAnsiTheme="minorHAnsi" w:cstheme="minorHAnsi"/>
                <w:b/>
                <w:spacing w:val="-2"/>
              </w:rPr>
            </w:pPr>
            <w:r>
              <w:rPr>
                <w:rFonts w:asciiTheme="minorHAnsi" w:hAnsiTheme="minorHAnsi" w:cstheme="minorHAnsi"/>
                <w:b/>
                <w:spacing w:val="-2"/>
              </w:rPr>
              <w:t>P</w:t>
            </w:r>
            <w:r w:rsidR="007C0E95">
              <w:rPr>
                <w:rFonts w:asciiTheme="minorHAnsi" w:hAnsiTheme="minorHAnsi" w:cstheme="minorHAnsi"/>
                <w:b/>
                <w:spacing w:val="-2"/>
              </w:rPr>
              <w:t>lease Note:</w:t>
            </w:r>
            <w:r w:rsidR="00203C99">
              <w:rPr>
                <w:rFonts w:asciiTheme="minorHAnsi" w:hAnsiTheme="minorHAnsi" w:cstheme="minorHAnsi"/>
                <w:b/>
                <w:spacing w:val="-2"/>
              </w:rPr>
              <w:t xml:space="preserve">  </w:t>
            </w:r>
          </w:p>
          <w:p w:rsidR="00203C99" w:rsidP="00203C99" w:rsidRDefault="00203C99" w14:paraId="452D25DD" w14:textId="77777777">
            <w:pPr>
              <w:tabs>
                <w:tab w:val="left" w:pos="2091"/>
              </w:tabs>
              <w:rPr>
                <w:rFonts w:asciiTheme="minorHAnsi" w:hAnsiTheme="minorHAnsi" w:cstheme="minorHAnsi"/>
                <w:b/>
                <w:spacing w:val="-2"/>
              </w:rPr>
            </w:pPr>
            <w:r>
              <w:rPr>
                <w:rFonts w:asciiTheme="minorHAnsi" w:hAnsiTheme="minorHAnsi" w:cstheme="minorHAnsi"/>
                <w:b/>
                <w:spacing w:val="-2"/>
              </w:rPr>
              <w:t xml:space="preserve">160.C:  </w:t>
            </w:r>
          </w:p>
          <w:p w:rsidRPr="00203C99" w:rsidR="00203C99" w:rsidP="00203C99" w:rsidRDefault="00203C99" w14:paraId="0270F0E3" w14:textId="00AA2AB0">
            <w:pPr>
              <w:pStyle w:val="ListParagraph"/>
              <w:numPr>
                <w:ilvl w:val="0"/>
                <w:numId w:val="14"/>
              </w:numPr>
              <w:tabs>
                <w:tab w:val="left" w:pos="2091"/>
              </w:tabs>
              <w:rPr>
                <w:rFonts w:eastAsia="Times New Roman" w:asciiTheme="minorHAnsi" w:hAnsiTheme="minorHAnsi" w:cstheme="minorHAnsi"/>
                <w:color w:val="000000" w:themeColor="text1"/>
              </w:rPr>
            </w:pPr>
            <w:r w:rsidRPr="00203C99">
              <w:rPr>
                <w:rFonts w:eastAsia="Times New Roman" w:asciiTheme="minorHAnsi" w:hAnsiTheme="minorHAnsi" w:cstheme="minorHAnsi"/>
                <w:color w:val="000000" w:themeColor="text1"/>
              </w:rPr>
              <w:t>N</w:t>
            </w:r>
            <w:r>
              <w:rPr>
                <w:rFonts w:eastAsia="Times New Roman" w:asciiTheme="minorHAnsi" w:hAnsiTheme="minorHAnsi" w:cstheme="minorHAnsi"/>
                <w:color w:val="000000" w:themeColor="text1"/>
              </w:rPr>
              <w:t>on</w:t>
            </w:r>
            <w:r w:rsidR="0067284E">
              <w:rPr>
                <w:rFonts w:eastAsia="Times New Roman" w:asciiTheme="minorHAnsi" w:hAnsiTheme="minorHAnsi" w:cstheme="minorHAnsi"/>
                <w:color w:val="000000" w:themeColor="text1"/>
              </w:rPr>
              <w:t>-</w:t>
            </w:r>
            <w:r>
              <w:rPr>
                <w:rFonts w:eastAsia="Times New Roman" w:asciiTheme="minorHAnsi" w:hAnsiTheme="minorHAnsi" w:cstheme="minorHAnsi"/>
                <w:color w:val="000000" w:themeColor="text1"/>
              </w:rPr>
              <w:t>Determined</w:t>
            </w:r>
            <w:r w:rsidRPr="00203C99">
              <w:rPr>
                <w:rFonts w:eastAsia="Times New Roman" w:asciiTheme="minorHAnsi" w:hAnsiTheme="minorHAnsi" w:cstheme="minorHAnsi"/>
                <w:color w:val="000000" w:themeColor="text1"/>
              </w:rPr>
              <w:t xml:space="preserve"> should be marked if the provider does not have any Level I, II, or III serious incidents to review since January 1, 2023. </w:t>
            </w:r>
          </w:p>
          <w:p w:rsidRPr="00203C99" w:rsidR="002D2CC5" w:rsidP="00203C99" w:rsidRDefault="00203C99" w14:paraId="77FBDE47" w14:textId="3F1733B4">
            <w:pPr>
              <w:pStyle w:val="ListParagraph"/>
              <w:numPr>
                <w:ilvl w:val="0"/>
                <w:numId w:val="14"/>
              </w:numPr>
              <w:tabs>
                <w:tab w:val="left" w:pos="2091"/>
              </w:tabs>
              <w:rPr>
                <w:rFonts w:eastAsia="Times New Roman" w:asciiTheme="minorHAnsi" w:hAnsiTheme="minorHAnsi" w:cstheme="minorHAnsi"/>
                <w:color w:val="000000" w:themeColor="text1"/>
              </w:rPr>
            </w:pPr>
            <w:r>
              <w:rPr>
                <w:rFonts w:eastAsia="Times New Roman" w:asciiTheme="minorHAnsi" w:hAnsiTheme="minorHAnsi" w:cstheme="minorHAnsi"/>
                <w:color w:val="000000" w:themeColor="text1"/>
              </w:rPr>
              <w:t>Non</w:t>
            </w:r>
            <w:r w:rsidR="0067284E">
              <w:rPr>
                <w:rFonts w:eastAsia="Times New Roman" w:asciiTheme="minorHAnsi" w:hAnsiTheme="minorHAnsi" w:cstheme="minorHAnsi"/>
                <w:color w:val="000000" w:themeColor="text1"/>
              </w:rPr>
              <w:t>-</w:t>
            </w:r>
            <w:r>
              <w:rPr>
                <w:rFonts w:eastAsia="Times New Roman" w:asciiTheme="minorHAnsi" w:hAnsiTheme="minorHAnsi" w:cstheme="minorHAnsi"/>
                <w:color w:val="000000" w:themeColor="text1"/>
              </w:rPr>
              <w:t>Determined should be marked</w:t>
            </w:r>
            <w:r w:rsidRPr="00203C99">
              <w:rPr>
                <w:rFonts w:eastAsia="Times New Roman" w:asciiTheme="minorHAnsi" w:hAnsiTheme="minorHAnsi" w:cstheme="minorHAnsi"/>
                <w:color w:val="000000" w:themeColor="text1"/>
              </w:rPr>
              <w:t xml:space="preserve"> if the provider has not served any individuals.</w:t>
            </w:r>
          </w:p>
          <w:p w:rsidR="002D2CC5" w:rsidP="002D2CC5" w:rsidRDefault="002D2CC5" w14:paraId="1EE9D25C" w14:textId="3A245E1B">
            <w:pPr>
              <w:pStyle w:val="TableParagraph"/>
              <w:spacing w:before="1"/>
              <w:ind w:left="0"/>
              <w:rPr>
                <w:rFonts w:asciiTheme="minorHAnsi" w:hAnsiTheme="minorHAnsi" w:cstheme="minorHAnsi"/>
                <w:b/>
                <w:spacing w:val="-2"/>
              </w:rPr>
            </w:pPr>
            <w:r>
              <w:rPr>
                <w:rFonts w:asciiTheme="minorHAnsi" w:hAnsiTheme="minorHAnsi" w:cstheme="minorHAnsi"/>
                <w:b/>
                <w:spacing w:val="-2"/>
              </w:rPr>
              <w:t>520.C.1-5</w:t>
            </w:r>
          </w:p>
          <w:p w:rsidRPr="002D2CC5" w:rsidR="002D2CC5" w:rsidP="002D2CC5" w:rsidRDefault="002D2CC5" w14:paraId="6964E62C" w14:textId="77777777">
            <w:pPr>
              <w:pStyle w:val="ListParagraph"/>
              <w:numPr>
                <w:ilvl w:val="0"/>
                <w:numId w:val="14"/>
              </w:numPr>
              <w:shd w:val="clear" w:color="auto" w:fill="FFFFFF" w:themeFill="background1"/>
              <w:rPr>
                <w:rFonts w:eastAsia="Times New Roman" w:asciiTheme="minorHAnsi" w:hAnsiTheme="minorHAnsi" w:cstheme="minorHAnsi"/>
              </w:rPr>
            </w:pPr>
            <w:r w:rsidRPr="002D2CC5">
              <w:rPr>
                <w:rFonts w:asciiTheme="minorHAnsi" w:hAnsiTheme="minorHAnsi" w:cstheme="minorHAnsi"/>
              </w:rPr>
              <w:t>If a systemic risk assessment is not completed the provider will be cited for non-compliance with 520.C.1, 520.C.2, 520.C.3, 520.C.4 and 520.C.5.</w:t>
            </w:r>
          </w:p>
          <w:p w:rsidRPr="002D2CC5" w:rsidR="002D2CC5" w:rsidP="002D2CC5" w:rsidRDefault="002D2CC5" w14:paraId="2B784992" w14:textId="77777777">
            <w:pPr>
              <w:pStyle w:val="ListParagraph"/>
              <w:numPr>
                <w:ilvl w:val="0"/>
                <w:numId w:val="14"/>
              </w:numPr>
            </w:pPr>
            <w:r w:rsidRPr="002D2CC5">
              <w:t xml:space="preserve">If any component of the systemic risk assessment </w:t>
            </w:r>
            <w:proofErr w:type="gramStart"/>
            <w:r w:rsidRPr="002D2CC5">
              <w:t>are</w:t>
            </w:r>
            <w:proofErr w:type="gramEnd"/>
            <w:r w:rsidRPr="002D2CC5">
              <w:t xml:space="preserve"> not addressed the provider will be cited for that specific regulation.  </w:t>
            </w:r>
          </w:p>
          <w:p w:rsidRPr="002D2CC5" w:rsidR="002D2CC5" w:rsidP="002D2CC5" w:rsidRDefault="002D2CC5" w14:paraId="3863C56F" w14:textId="77777777">
            <w:pPr>
              <w:pStyle w:val="ListParagraph"/>
              <w:rPr>
                <w:b/>
                <w:bCs/>
              </w:rPr>
            </w:pPr>
            <w:r w:rsidRPr="002D2CC5">
              <w:rPr>
                <w:b/>
                <w:bCs/>
              </w:rPr>
              <w:t>520.D</w:t>
            </w:r>
          </w:p>
          <w:p w:rsidR="002D2CC5" w:rsidP="002D2CC5" w:rsidRDefault="002D2CC5" w14:paraId="7D67F246" w14:textId="77777777">
            <w:pPr>
              <w:pStyle w:val="ListParagraph"/>
              <w:numPr>
                <w:ilvl w:val="0"/>
                <w:numId w:val="27"/>
              </w:numPr>
              <w:rPr>
                <w:rFonts w:eastAsia="Times New Roman"/>
                <w:color w:val="000000" w:themeColor="text1"/>
              </w:rPr>
            </w:pPr>
            <w:r w:rsidRPr="002D2CC5">
              <w:rPr>
                <w:rFonts w:eastAsia="Times New Roman"/>
                <w:color w:val="000000" w:themeColor="text1"/>
              </w:rPr>
              <w:t>As presented during trainings, DBHDS has defined risk triggers and thresholds as care concerns which are identified through the IMUs review of serious incident reporting.</w:t>
            </w:r>
          </w:p>
          <w:p w:rsidRPr="00203C99" w:rsidR="00203C99" w:rsidP="00203C99" w:rsidRDefault="002D2CC5" w14:paraId="2855672D" w14:textId="77777777">
            <w:pPr>
              <w:pStyle w:val="ListParagraph"/>
              <w:numPr>
                <w:ilvl w:val="0"/>
                <w:numId w:val="27"/>
              </w:numPr>
              <w:rPr>
                <w:rFonts w:asciiTheme="minorHAnsi" w:hAnsiTheme="minorHAnsi" w:cstheme="minorHAnsi"/>
              </w:rPr>
            </w:pPr>
            <w:r>
              <w:rPr>
                <w:rFonts w:asciiTheme="minorHAnsi" w:hAnsiTheme="minorHAnsi" w:cstheme="minorHAnsi"/>
              </w:rPr>
              <w:t xml:space="preserve">If </w:t>
            </w:r>
            <w:r w:rsidRPr="002D2CC5">
              <w:rPr>
                <w:rFonts w:eastAsia="Times New Roman" w:asciiTheme="minorHAnsi" w:hAnsiTheme="minorHAnsi" w:cstheme="minorHAnsi"/>
                <w:color w:val="000000" w:themeColor="text1"/>
              </w:rPr>
              <w:t xml:space="preserve">a provider has not had any care concerns, their systemic risk assessment review process would still need to outline how they would address care concerns if they were to occur. If the provider outlines how they would address care concerns if they were to occur, then the provider would be marked Compliant. If it does not, then the </w:t>
            </w:r>
            <w:r w:rsidRPr="00203C99">
              <w:rPr>
                <w:rFonts w:eastAsia="Times New Roman" w:asciiTheme="minorHAnsi" w:hAnsiTheme="minorHAnsi" w:cstheme="minorHAnsi"/>
                <w:color w:val="000000" w:themeColor="text1"/>
              </w:rPr>
              <w:t xml:space="preserve">provider would be marked </w:t>
            </w:r>
            <w:proofErr w:type="gramStart"/>
            <w:r w:rsidRPr="00203C99">
              <w:rPr>
                <w:rFonts w:eastAsia="Times New Roman" w:asciiTheme="minorHAnsi" w:hAnsiTheme="minorHAnsi" w:cstheme="minorHAnsi"/>
                <w:color w:val="000000" w:themeColor="text1"/>
              </w:rPr>
              <w:t>Non-Compliant</w:t>
            </w:r>
            <w:proofErr w:type="gramEnd"/>
            <w:r w:rsidRPr="00203C99">
              <w:rPr>
                <w:rFonts w:eastAsia="Times New Roman" w:asciiTheme="minorHAnsi" w:hAnsiTheme="minorHAnsi" w:cstheme="minorHAnsi"/>
                <w:color w:val="000000" w:themeColor="text1"/>
              </w:rPr>
              <w:t>.</w:t>
            </w:r>
          </w:p>
          <w:p w:rsidRPr="002D2CC5" w:rsidR="007C0E95" w:rsidP="00203C99" w:rsidRDefault="007C0E95" w14:paraId="00D4DADE" w14:textId="241FB732">
            <w:pPr>
              <w:pStyle w:val="ListParagraph"/>
              <w:numPr>
                <w:ilvl w:val="0"/>
                <w:numId w:val="27"/>
              </w:numPr>
            </w:pPr>
            <w:r w:rsidRPr="00203C99">
              <w:rPr>
                <w:rFonts w:eastAsia="Times New Roman" w:asciiTheme="minorHAnsi" w:hAnsiTheme="minorHAnsi" w:cstheme="minorHAnsi"/>
                <w:color w:val="000000" w:themeColor="text1"/>
              </w:rPr>
              <w:t xml:space="preserve">This regulation should NOT be marked as </w:t>
            </w:r>
            <w:proofErr w:type="gramStart"/>
            <w:r w:rsidRPr="00203C99">
              <w:rPr>
                <w:rFonts w:eastAsia="Times New Roman" w:asciiTheme="minorHAnsi" w:hAnsiTheme="minorHAnsi" w:cstheme="minorHAnsi"/>
                <w:color w:val="000000" w:themeColor="text1"/>
              </w:rPr>
              <w:t>N</w:t>
            </w:r>
            <w:r w:rsidR="00203C99">
              <w:rPr>
                <w:rFonts w:eastAsia="Times New Roman" w:asciiTheme="minorHAnsi" w:hAnsiTheme="minorHAnsi" w:cstheme="minorHAnsi"/>
                <w:color w:val="000000" w:themeColor="text1"/>
              </w:rPr>
              <w:t>on Determined</w:t>
            </w:r>
            <w:proofErr w:type="gramEnd"/>
            <w:r w:rsidRPr="00203C99">
              <w:rPr>
                <w:rFonts w:eastAsia="Times New Roman" w:asciiTheme="minorHAnsi" w:hAnsiTheme="minorHAnsi" w:cstheme="minorHAnsi"/>
                <w:color w:val="000000" w:themeColor="text1"/>
              </w:rPr>
              <w:t>.</w:t>
            </w:r>
            <w:r w:rsidRPr="00203C99">
              <w:rPr>
                <w:rFonts w:ascii="Times New Roman" w:hAnsi="Times New Roman" w:eastAsia="Times New Roman" w:cs="Times New Roman"/>
                <w:b/>
                <w:bCs/>
                <w:color w:val="000000" w:themeColor="text1"/>
              </w:rPr>
              <w:t xml:space="preserve">  </w:t>
            </w:r>
          </w:p>
        </w:tc>
      </w:tr>
      <w:tr w:rsidRPr="002D3014" w:rsidR="006607A1" w:rsidTr="54304272" w14:paraId="56A89A1F" w14:textId="77777777">
        <w:trPr>
          <w:trHeight w:val="540"/>
        </w:trPr>
        <w:tc>
          <w:tcPr>
            <w:tcW w:w="1147" w:type="dxa"/>
            <w:shd w:val="clear" w:color="auto" w:fill="E7E6E6"/>
            <w:tcMar/>
          </w:tcPr>
          <w:p w:rsidRPr="002D3014" w:rsidR="006607A1" w:rsidP="00A82615" w:rsidRDefault="00000000" w14:paraId="3AB46DAF" w14:textId="77777777">
            <w:pPr>
              <w:pStyle w:val="TableParagraph"/>
              <w:spacing w:before="1"/>
              <w:ind w:left="0"/>
              <w:jc w:val="center"/>
              <w:rPr>
                <w:rFonts w:asciiTheme="minorHAnsi" w:hAnsiTheme="minorHAnsi" w:cstheme="minorHAnsi"/>
                <w:b/>
              </w:rPr>
            </w:pPr>
            <w:r w:rsidRPr="002D3014">
              <w:rPr>
                <w:rFonts w:asciiTheme="minorHAnsi" w:hAnsiTheme="minorHAnsi" w:cstheme="minorHAnsi"/>
                <w:b/>
                <w:spacing w:val="-2"/>
              </w:rPr>
              <w:t>Regulation</w:t>
            </w:r>
          </w:p>
        </w:tc>
        <w:tc>
          <w:tcPr>
            <w:tcW w:w="2700" w:type="dxa"/>
            <w:shd w:val="clear" w:color="auto" w:fill="E7E6E6"/>
            <w:tcMar/>
          </w:tcPr>
          <w:p w:rsidRPr="002D3014" w:rsidR="006607A1" w:rsidP="002D3014" w:rsidRDefault="00000000" w14:paraId="36E0A572" w14:textId="77777777">
            <w:pPr>
              <w:jc w:val="center"/>
              <w:rPr>
                <w:rFonts w:asciiTheme="minorHAnsi" w:hAnsiTheme="minorHAnsi" w:cstheme="minorHAnsi"/>
                <w:b/>
                <w:bCs/>
              </w:rPr>
            </w:pPr>
            <w:r w:rsidRPr="002D3014">
              <w:rPr>
                <w:rFonts w:asciiTheme="minorHAnsi" w:hAnsiTheme="minorHAnsi" w:cstheme="minorHAnsi"/>
                <w:b/>
                <w:bCs/>
              </w:rPr>
              <w:t>What the regulation</w:t>
            </w:r>
          </w:p>
          <w:p w:rsidRPr="002D3014" w:rsidR="006607A1" w:rsidP="002D3014" w:rsidRDefault="00000000" w14:paraId="6337DC35" w14:textId="77777777">
            <w:pPr>
              <w:jc w:val="center"/>
              <w:rPr>
                <w:rFonts w:asciiTheme="minorHAnsi" w:hAnsiTheme="minorHAnsi" w:cstheme="minorHAnsi"/>
                <w:b/>
                <w:bCs/>
              </w:rPr>
            </w:pPr>
            <w:r w:rsidRPr="002D3014">
              <w:rPr>
                <w:rFonts w:asciiTheme="minorHAnsi" w:hAnsiTheme="minorHAnsi" w:cstheme="minorHAnsi"/>
                <w:b/>
                <w:bCs/>
              </w:rPr>
              <w:t>specifies:</w:t>
            </w:r>
          </w:p>
        </w:tc>
        <w:tc>
          <w:tcPr>
            <w:tcW w:w="3510" w:type="dxa"/>
            <w:shd w:val="clear" w:color="auto" w:fill="E7E6E6"/>
            <w:tcMar/>
          </w:tcPr>
          <w:p w:rsidRPr="002D3014" w:rsidR="006607A1" w:rsidP="002D3014" w:rsidRDefault="00000000" w14:paraId="7107B644" w14:textId="77777777">
            <w:pPr>
              <w:jc w:val="center"/>
              <w:rPr>
                <w:rFonts w:asciiTheme="minorHAnsi" w:hAnsiTheme="minorHAnsi" w:cstheme="minorHAnsi"/>
                <w:b/>
                <w:bCs/>
              </w:rPr>
            </w:pPr>
            <w:r w:rsidRPr="002D3014">
              <w:rPr>
                <w:rFonts w:asciiTheme="minorHAnsi" w:hAnsiTheme="minorHAnsi" w:cstheme="minorHAnsi"/>
                <w:b/>
                <w:bCs/>
              </w:rPr>
              <w:t>What questions to ask yourself</w:t>
            </w:r>
          </w:p>
          <w:p w:rsidRPr="002D3014" w:rsidR="006607A1" w:rsidP="002D3014" w:rsidRDefault="00000000" w14:paraId="4FE846D0" w14:textId="77777777">
            <w:pPr>
              <w:jc w:val="center"/>
              <w:rPr>
                <w:rFonts w:asciiTheme="minorHAnsi" w:hAnsiTheme="minorHAnsi" w:cstheme="minorHAnsi"/>
                <w:b/>
                <w:bCs/>
              </w:rPr>
            </w:pPr>
            <w:r w:rsidRPr="002D3014">
              <w:rPr>
                <w:rFonts w:asciiTheme="minorHAnsi" w:hAnsiTheme="minorHAnsi" w:cstheme="minorHAnsi"/>
                <w:b/>
                <w:bCs/>
              </w:rPr>
              <w:t>to determine compliance:</w:t>
            </w:r>
          </w:p>
        </w:tc>
        <w:tc>
          <w:tcPr>
            <w:tcW w:w="3456" w:type="dxa"/>
            <w:shd w:val="clear" w:color="auto" w:fill="E7E6E6"/>
            <w:tcMar/>
          </w:tcPr>
          <w:p w:rsidRPr="002D3014" w:rsidR="006607A1" w:rsidP="002D3014" w:rsidRDefault="00000000" w14:paraId="76E1FCB5" w14:textId="67276459">
            <w:pPr>
              <w:jc w:val="center"/>
              <w:rPr>
                <w:rFonts w:asciiTheme="minorHAnsi" w:hAnsiTheme="minorHAnsi" w:cstheme="minorHAnsi"/>
                <w:b/>
                <w:bCs/>
              </w:rPr>
            </w:pPr>
            <w:r w:rsidRPr="002D3014">
              <w:rPr>
                <w:rFonts w:asciiTheme="minorHAnsi" w:hAnsiTheme="minorHAnsi" w:cstheme="minorHAnsi"/>
                <w:b/>
                <w:bCs/>
              </w:rPr>
              <w:t>The provider would be given a</w:t>
            </w:r>
            <w:r w:rsidRPr="002D3014" w:rsidR="002D3014">
              <w:rPr>
                <w:rFonts w:asciiTheme="minorHAnsi" w:hAnsiTheme="minorHAnsi" w:cstheme="minorHAnsi"/>
                <w:b/>
                <w:bCs/>
              </w:rPr>
              <w:t xml:space="preserve"> </w:t>
            </w:r>
            <w:r w:rsidRPr="002D3014">
              <w:rPr>
                <w:rFonts w:asciiTheme="minorHAnsi" w:hAnsiTheme="minorHAnsi" w:cstheme="minorHAnsi"/>
                <w:b/>
                <w:bCs/>
              </w:rPr>
              <w:t>rating of Non-Compliance:</w:t>
            </w:r>
          </w:p>
        </w:tc>
      </w:tr>
      <w:tr w:rsidRPr="002D3014" w:rsidR="00F949A4" w:rsidTr="54304272" w14:paraId="5605CEBB" w14:textId="77777777">
        <w:trPr>
          <w:trHeight w:val="540"/>
        </w:trPr>
        <w:tc>
          <w:tcPr>
            <w:tcW w:w="1147" w:type="dxa"/>
            <w:shd w:val="clear" w:color="auto" w:fill="E7E6E6"/>
            <w:tcMar/>
          </w:tcPr>
          <w:p w:rsidRPr="00203C99" w:rsidR="00F949A4" w:rsidP="00203C99" w:rsidRDefault="00F949A4" w14:paraId="613E36D0" w14:textId="7E026810">
            <w:pPr>
              <w:jc w:val="center"/>
              <w:rPr>
                <w:rFonts w:asciiTheme="minorHAnsi" w:hAnsiTheme="minorHAnsi" w:cstheme="minorHAnsi"/>
                <w:b/>
                <w:bCs/>
              </w:rPr>
            </w:pPr>
            <w:r w:rsidRPr="00203C99">
              <w:rPr>
                <w:rFonts w:asciiTheme="minorHAnsi" w:hAnsiTheme="minorHAnsi" w:cstheme="minorHAnsi"/>
                <w:b/>
                <w:bCs/>
              </w:rPr>
              <w:t>160.C</w:t>
            </w:r>
          </w:p>
        </w:tc>
        <w:tc>
          <w:tcPr>
            <w:tcW w:w="2700" w:type="dxa"/>
            <w:shd w:val="clear" w:color="auto" w:fill="FFFFFF" w:themeFill="background1"/>
            <w:tcMar/>
          </w:tcPr>
          <w:p w:rsidRPr="002D3014" w:rsidR="00F949A4" w:rsidP="002D3014" w:rsidRDefault="00F949A4" w14:paraId="2AC9A13B" w14:textId="03008570">
            <w:pPr>
              <w:rPr>
                <w:rFonts w:asciiTheme="minorHAnsi" w:hAnsiTheme="minorHAnsi" w:cstheme="minorHAnsi"/>
              </w:rPr>
            </w:pPr>
            <w:r w:rsidRPr="002D3014">
              <w:rPr>
                <w:rFonts w:asciiTheme="minorHAnsi" w:hAnsiTheme="minorHAnsi" w:eastAsiaTheme="minorHAnsi" w:cstheme="minorHAnsi"/>
              </w:rPr>
              <w:t>The provider shall collect, maintain, and review at least quarterly all serious incidents, including Level I serious incidents, as part of the quality improvement program in accordance with 12VAC35-105-620 to include an analysis of trends, potential systemic issues or causes, indicated remediation, and documentation of steps taken to mitigate the potential for future incidents.</w:t>
            </w:r>
          </w:p>
        </w:tc>
        <w:tc>
          <w:tcPr>
            <w:tcW w:w="3510" w:type="dxa"/>
            <w:shd w:val="clear" w:color="auto" w:fill="FFFFFF" w:themeFill="background1"/>
            <w:tcMar/>
          </w:tcPr>
          <w:p w:rsidRPr="002D3014" w:rsidR="00A82615" w:rsidP="002D3014" w:rsidRDefault="00A82615" w14:paraId="2467D9FC" w14:textId="77777777">
            <w:pPr>
              <w:pStyle w:val="ListParagraph"/>
              <w:numPr>
                <w:ilvl w:val="0"/>
                <w:numId w:val="14"/>
              </w:numPr>
              <w:rPr>
                <w:rFonts w:asciiTheme="minorHAnsi" w:hAnsiTheme="minorHAnsi" w:cstheme="minorHAnsi"/>
                <w:color w:val="000000" w:themeColor="text1"/>
              </w:rPr>
            </w:pPr>
            <w:r w:rsidRPr="002D3014">
              <w:rPr>
                <w:rFonts w:asciiTheme="minorHAnsi" w:hAnsiTheme="minorHAnsi" w:cstheme="minorHAnsi"/>
                <w:color w:val="000000" w:themeColor="text1"/>
                <w:shd w:val="clear" w:color="auto" w:fill="FFFFFF" w:themeFill="background1"/>
              </w:rPr>
              <w:t xml:space="preserve">Were the </w:t>
            </w:r>
            <w:r w:rsidRPr="002D3014">
              <w:rPr>
                <w:rFonts w:asciiTheme="minorHAnsi" w:hAnsiTheme="minorHAnsi" w:cstheme="minorHAnsi"/>
                <w:bCs/>
                <w:color w:val="000000" w:themeColor="text1"/>
                <w:shd w:val="clear" w:color="auto" w:fill="FFFFFF" w:themeFill="background1"/>
              </w:rPr>
              <w:t xml:space="preserve">two </w:t>
            </w:r>
            <w:r w:rsidRPr="002D3014">
              <w:rPr>
                <w:rFonts w:asciiTheme="minorHAnsi" w:hAnsiTheme="minorHAnsi" w:cstheme="minorHAnsi"/>
                <w:color w:val="000000" w:themeColor="text1"/>
                <w:shd w:val="clear" w:color="auto" w:fill="FFFFFF" w:themeFill="background1"/>
              </w:rPr>
              <w:t>quarterly reviews of all serious incidents including</w:t>
            </w:r>
            <w:r w:rsidRPr="002D3014">
              <w:rPr>
                <w:rFonts w:asciiTheme="minorHAnsi" w:hAnsiTheme="minorHAnsi" w:cstheme="minorHAnsi"/>
                <w:color w:val="000000" w:themeColor="text1"/>
              </w:rPr>
              <w:t xml:space="preserve"> Level I, Level II and Level III incidents requested for review?</w:t>
            </w:r>
          </w:p>
          <w:p w:rsidRPr="002D3014" w:rsidR="00A82615" w:rsidP="002D3014" w:rsidRDefault="00A82615" w14:paraId="4D135EC2" w14:textId="77777777">
            <w:pPr>
              <w:pStyle w:val="ListParagraph"/>
              <w:numPr>
                <w:ilvl w:val="0"/>
                <w:numId w:val="14"/>
              </w:numPr>
              <w:rPr>
                <w:rFonts w:asciiTheme="minorHAnsi" w:hAnsiTheme="minorHAnsi" w:cstheme="minorHAnsi"/>
                <w:color w:val="000000" w:themeColor="text1"/>
              </w:rPr>
            </w:pPr>
            <w:r w:rsidRPr="002D3014">
              <w:rPr>
                <w:rFonts w:asciiTheme="minorHAnsi" w:hAnsiTheme="minorHAnsi" w:cstheme="minorHAnsi"/>
                <w:color w:val="000000" w:themeColor="text1"/>
              </w:rPr>
              <w:t>If the provider did not have any Level I, II, or III serious incidents to review during the last two quarters, did the provider must look back to 1/1/2023 to see if they had any serious incidents and provide the quarterly review for those?</w:t>
            </w:r>
          </w:p>
          <w:p w:rsidRPr="002D3014" w:rsidR="00A82615" w:rsidP="002D3014" w:rsidRDefault="00A82615" w14:paraId="6A68F16D" w14:textId="77777777">
            <w:pPr>
              <w:pStyle w:val="ListParagraph"/>
              <w:numPr>
                <w:ilvl w:val="0"/>
                <w:numId w:val="14"/>
              </w:numPr>
              <w:rPr>
                <w:rFonts w:asciiTheme="minorHAnsi" w:hAnsiTheme="minorHAnsi" w:cstheme="minorHAnsi"/>
                <w:color w:val="000000" w:themeColor="text1"/>
              </w:rPr>
            </w:pPr>
            <w:r w:rsidRPr="002D3014">
              <w:rPr>
                <w:rFonts w:asciiTheme="minorHAnsi" w:hAnsiTheme="minorHAnsi" w:cstheme="minorHAnsi"/>
                <w:color w:val="000000" w:themeColor="text1"/>
              </w:rPr>
              <w:t xml:space="preserve">Did this review include an analysis of trends, potential </w:t>
            </w:r>
            <w:r w:rsidRPr="002D3014">
              <w:rPr>
                <w:rFonts w:asciiTheme="minorHAnsi" w:hAnsiTheme="minorHAnsi" w:cstheme="minorHAnsi"/>
                <w:color w:val="000000" w:themeColor="text1"/>
              </w:rPr>
              <w:lastRenderedPageBreak/>
              <w:t>systemic issues or causes, indicated remediation, and documentation of steps taken to mitigate the potential for future incidents?</w:t>
            </w:r>
          </w:p>
          <w:p w:rsidRPr="002D3014" w:rsidR="00A82615" w:rsidP="002D3014" w:rsidRDefault="00A82615" w14:paraId="14988964" w14:textId="77777777">
            <w:pPr>
              <w:pStyle w:val="ListParagraph"/>
              <w:numPr>
                <w:ilvl w:val="0"/>
                <w:numId w:val="14"/>
              </w:numPr>
              <w:rPr>
                <w:rFonts w:asciiTheme="minorHAnsi" w:hAnsiTheme="minorHAnsi" w:cstheme="minorHAnsi"/>
                <w:color w:val="000000" w:themeColor="text1"/>
              </w:rPr>
            </w:pPr>
            <w:r w:rsidRPr="002D3014">
              <w:rPr>
                <w:rFonts w:asciiTheme="minorHAnsi" w:hAnsiTheme="minorHAnsi" w:cstheme="minorHAnsi"/>
                <w:color w:val="000000" w:themeColor="text1"/>
              </w:rPr>
              <w:t>If there were no serious incidents within the past year, does the provider have documentation to reflect why a quarterly review was not completed?</w:t>
            </w:r>
          </w:p>
          <w:p w:rsidRPr="002D3014" w:rsidR="00A82615" w:rsidP="002D3014" w:rsidRDefault="00A82615" w14:paraId="361AEE68" w14:textId="68A171D3">
            <w:pPr>
              <w:pStyle w:val="ListParagraph"/>
              <w:numPr>
                <w:ilvl w:val="0"/>
                <w:numId w:val="14"/>
              </w:numPr>
              <w:rPr>
                <w:rFonts w:asciiTheme="minorHAnsi" w:hAnsiTheme="minorHAnsi" w:cstheme="minorHAnsi"/>
                <w:color w:val="000000" w:themeColor="text1"/>
              </w:rPr>
            </w:pPr>
            <w:r w:rsidRPr="002D3014">
              <w:rPr>
                <w:rFonts w:asciiTheme="minorHAnsi" w:hAnsiTheme="minorHAnsi" w:cstheme="minorHAnsi"/>
                <w:color w:val="000000" w:themeColor="text1"/>
              </w:rPr>
              <w:t>If there were no serious incidents within the past year, does not have a form to show what the provider would use to document serious incidents if they were to occur?</w:t>
            </w:r>
          </w:p>
          <w:p w:rsidRPr="002D3014" w:rsidR="00F949A4" w:rsidP="002D3014" w:rsidRDefault="00F949A4" w14:paraId="143B1BD8" w14:textId="77777777">
            <w:pPr>
              <w:rPr>
                <w:rFonts w:asciiTheme="minorHAnsi" w:hAnsiTheme="minorHAnsi" w:cstheme="minorHAnsi"/>
              </w:rPr>
            </w:pPr>
          </w:p>
        </w:tc>
        <w:tc>
          <w:tcPr>
            <w:tcW w:w="3456" w:type="dxa"/>
            <w:shd w:val="clear" w:color="auto" w:fill="FFFFFF" w:themeFill="background1"/>
            <w:tcMar/>
          </w:tcPr>
          <w:p w:rsidRPr="002D3014" w:rsidR="00A82615" w:rsidP="002D3014" w:rsidRDefault="0001485B" w14:paraId="62B2710F" w14:textId="6008492D">
            <w:pPr>
              <w:pStyle w:val="ListParagraph"/>
              <w:numPr>
                <w:ilvl w:val="0"/>
                <w:numId w:val="14"/>
              </w:numPr>
              <w:rPr>
                <w:rFonts w:asciiTheme="minorHAnsi" w:hAnsiTheme="minorHAnsi" w:cstheme="minorHAnsi"/>
              </w:rPr>
            </w:pPr>
            <w:r w:rsidRPr="002D3014">
              <w:rPr>
                <w:rFonts w:asciiTheme="minorHAnsi" w:hAnsiTheme="minorHAnsi" w:cstheme="minorHAnsi"/>
              </w:rPr>
              <w:lastRenderedPageBreak/>
              <w:t>If t</w:t>
            </w:r>
            <w:r w:rsidRPr="002D3014" w:rsidR="00A82615">
              <w:rPr>
                <w:rFonts w:asciiTheme="minorHAnsi" w:hAnsiTheme="minorHAnsi" w:cstheme="minorHAnsi"/>
              </w:rPr>
              <w:t>here is no proof of quarterly reviews</w:t>
            </w:r>
            <w:r w:rsidRPr="002D3014" w:rsidR="00B16AD2">
              <w:rPr>
                <w:rFonts w:asciiTheme="minorHAnsi" w:hAnsiTheme="minorHAnsi" w:cstheme="minorHAnsi"/>
              </w:rPr>
              <w:t xml:space="preserve"> </w:t>
            </w:r>
            <w:r w:rsidRPr="002D3014" w:rsidR="00A82615">
              <w:rPr>
                <w:rFonts w:asciiTheme="minorHAnsi" w:hAnsiTheme="minorHAnsi" w:cstheme="minorHAnsi"/>
              </w:rPr>
              <w:t>of all serious incidents</w:t>
            </w:r>
            <w:r w:rsidR="00203C99">
              <w:rPr>
                <w:rFonts w:asciiTheme="minorHAnsi" w:hAnsiTheme="minorHAnsi" w:cstheme="minorHAnsi"/>
              </w:rPr>
              <w:t xml:space="preserve"> including</w:t>
            </w:r>
            <w:r w:rsidRPr="002D3014" w:rsidR="00A82615">
              <w:rPr>
                <w:rFonts w:asciiTheme="minorHAnsi" w:hAnsiTheme="minorHAnsi" w:cstheme="minorHAnsi"/>
              </w:rPr>
              <w:t>.</w:t>
            </w:r>
          </w:p>
          <w:p w:rsidRPr="002D3014" w:rsidR="00A82615" w:rsidP="002D3014" w:rsidRDefault="0001485B" w14:paraId="72BA219F" w14:textId="7AFE76E5">
            <w:pPr>
              <w:pStyle w:val="ListParagraph"/>
              <w:numPr>
                <w:ilvl w:val="0"/>
                <w:numId w:val="14"/>
              </w:numPr>
              <w:rPr>
                <w:rFonts w:asciiTheme="minorHAnsi" w:hAnsiTheme="minorHAnsi" w:cstheme="minorHAnsi"/>
                <w:color w:val="000000" w:themeColor="text1"/>
              </w:rPr>
            </w:pPr>
            <w:r w:rsidRPr="002D3014">
              <w:rPr>
                <w:rFonts w:asciiTheme="minorHAnsi" w:hAnsiTheme="minorHAnsi" w:cstheme="minorHAnsi"/>
                <w:color w:val="000000" w:themeColor="text1"/>
              </w:rPr>
              <w:t>If the</w:t>
            </w:r>
            <w:r w:rsidRPr="002D3014" w:rsidR="00A82615">
              <w:rPr>
                <w:rFonts w:asciiTheme="minorHAnsi" w:hAnsiTheme="minorHAnsi" w:cstheme="minorHAnsi"/>
                <w:color w:val="000000" w:themeColor="text1"/>
              </w:rPr>
              <w:t xml:space="preserve"> quarterly review does not include an analysis of trends, potential systemic issues or causes, indicated remediation, and documentation of steps taken to mitigate the potential for future incidents.</w:t>
            </w:r>
          </w:p>
          <w:p w:rsidRPr="002D3014" w:rsidR="00A82615" w:rsidP="002D3014" w:rsidRDefault="00A82615" w14:paraId="0EFCD193" w14:textId="17FA3FC8">
            <w:pPr>
              <w:pStyle w:val="ListParagraph"/>
              <w:numPr>
                <w:ilvl w:val="0"/>
                <w:numId w:val="14"/>
              </w:numPr>
              <w:rPr>
                <w:rFonts w:asciiTheme="minorHAnsi" w:hAnsiTheme="minorHAnsi" w:cstheme="minorHAnsi"/>
                <w:color w:val="000000" w:themeColor="text1"/>
              </w:rPr>
            </w:pPr>
            <w:r w:rsidRPr="002D3014">
              <w:rPr>
                <w:rFonts w:eastAsia="Times New Roman" w:asciiTheme="minorHAnsi" w:hAnsiTheme="minorHAnsi" w:cstheme="minorHAnsi"/>
                <w:color w:val="000000" w:themeColor="text1"/>
              </w:rPr>
              <w:t xml:space="preserve">If the provider has not had any serious incidents within the past year, and there is no documentation to reflect why a quarterly review was not </w:t>
            </w:r>
            <w:r w:rsidRPr="002D3014">
              <w:rPr>
                <w:rFonts w:eastAsia="Times New Roman" w:asciiTheme="minorHAnsi" w:hAnsiTheme="minorHAnsi" w:cstheme="minorHAnsi"/>
                <w:color w:val="000000" w:themeColor="text1"/>
              </w:rPr>
              <w:lastRenderedPageBreak/>
              <w:t>completed.</w:t>
            </w:r>
          </w:p>
          <w:p w:rsidRPr="002D3014" w:rsidR="00A82615" w:rsidP="002D3014" w:rsidRDefault="00A82615" w14:paraId="3AA7E4EB" w14:textId="77777777">
            <w:pPr>
              <w:rPr>
                <w:rFonts w:asciiTheme="minorHAnsi" w:hAnsiTheme="minorHAnsi" w:cstheme="minorHAnsi"/>
              </w:rPr>
            </w:pPr>
          </w:p>
        </w:tc>
      </w:tr>
      <w:tr w:rsidRPr="002D3014" w:rsidR="00F949A4" w:rsidTr="54304272" w14:paraId="34BD7274" w14:textId="77777777">
        <w:trPr>
          <w:trHeight w:val="3315"/>
        </w:trPr>
        <w:tc>
          <w:tcPr>
            <w:tcW w:w="1147" w:type="dxa"/>
            <w:shd w:val="clear" w:color="auto" w:fill="E7E6E6"/>
            <w:tcMar/>
          </w:tcPr>
          <w:p w:rsidRPr="00203C99" w:rsidR="00F949A4" w:rsidP="00203C99" w:rsidRDefault="00F949A4" w14:paraId="2AD559BA" w14:textId="12EB05AD">
            <w:pPr>
              <w:jc w:val="center"/>
              <w:rPr>
                <w:rFonts w:asciiTheme="minorHAnsi" w:hAnsiTheme="minorHAnsi" w:cstheme="minorHAnsi"/>
                <w:b/>
                <w:bCs/>
              </w:rPr>
            </w:pPr>
            <w:r w:rsidRPr="00203C99">
              <w:rPr>
                <w:rFonts w:asciiTheme="minorHAnsi" w:hAnsiTheme="minorHAnsi" w:cstheme="minorHAnsi"/>
                <w:b/>
                <w:bCs/>
              </w:rPr>
              <w:lastRenderedPageBreak/>
              <w:t>520.C.1</w:t>
            </w:r>
          </w:p>
        </w:tc>
        <w:tc>
          <w:tcPr>
            <w:tcW w:w="2700" w:type="dxa"/>
            <w:shd w:val="clear" w:color="auto" w:fill="FFFFFF" w:themeFill="background1"/>
            <w:tcMar/>
          </w:tcPr>
          <w:p w:rsidRPr="002D3014" w:rsidR="00F949A4" w:rsidP="002D3014" w:rsidRDefault="00F949A4" w14:paraId="1F9681AC" w14:textId="77777777">
            <w:pPr>
              <w:rPr>
                <w:rFonts w:asciiTheme="minorHAnsi" w:hAnsiTheme="minorHAnsi" w:eastAsiaTheme="minorHAnsi" w:cstheme="minorHAnsi"/>
              </w:rPr>
            </w:pPr>
            <w:r w:rsidRPr="002D3014">
              <w:rPr>
                <w:rFonts w:asciiTheme="minorHAnsi" w:hAnsiTheme="minorHAnsi" w:eastAsiaTheme="minorHAnsi" w:cstheme="minorHAnsi"/>
              </w:rPr>
              <w:t>The provider shall conduct systemic risk assessment reviews at least annually to identify and respond to practices, situations, and policies that could result in the risk of harm to individuals receiving services. The risk assessment review shall address at least the following:</w:t>
            </w:r>
          </w:p>
          <w:p w:rsidRPr="002D3014" w:rsidR="00F949A4" w:rsidP="002D3014" w:rsidRDefault="00F949A4" w14:paraId="55DFF35C" w14:textId="124E3992">
            <w:pPr>
              <w:pStyle w:val="ListParagraph"/>
              <w:numPr>
                <w:ilvl w:val="0"/>
                <w:numId w:val="26"/>
              </w:numPr>
              <w:rPr>
                <w:rFonts w:asciiTheme="minorHAnsi" w:hAnsiTheme="minorHAnsi" w:eastAsiaTheme="minorHAnsi" w:cstheme="minorHAnsi"/>
              </w:rPr>
            </w:pPr>
            <w:r w:rsidRPr="002D3014">
              <w:rPr>
                <w:rFonts w:asciiTheme="minorHAnsi" w:hAnsiTheme="minorHAnsi" w:eastAsiaTheme="minorHAnsi" w:cstheme="minorHAnsi"/>
              </w:rPr>
              <w:t>The environment of care</w:t>
            </w:r>
          </w:p>
        </w:tc>
        <w:tc>
          <w:tcPr>
            <w:tcW w:w="3510" w:type="dxa"/>
            <w:shd w:val="clear" w:color="auto" w:fill="FFFFFF" w:themeFill="background1"/>
            <w:tcMar/>
          </w:tcPr>
          <w:p w:rsidRPr="002D3014" w:rsidR="00F949A4" w:rsidP="002D3014" w:rsidRDefault="007A3E6A" w14:paraId="0B87F282" w14:textId="267FB02F">
            <w:pPr>
              <w:pStyle w:val="ListParagraph"/>
              <w:numPr>
                <w:ilvl w:val="0"/>
                <w:numId w:val="14"/>
              </w:numPr>
              <w:rPr>
                <w:rFonts w:asciiTheme="minorHAnsi" w:hAnsiTheme="minorHAnsi" w:cstheme="minorHAnsi"/>
              </w:rPr>
            </w:pPr>
            <w:r w:rsidRPr="002D3014">
              <w:rPr>
                <w:rFonts w:eastAsia="Times New Roman" w:asciiTheme="minorHAnsi" w:hAnsiTheme="minorHAnsi" w:cstheme="minorHAnsi"/>
              </w:rPr>
              <w:t>Does the provider have a document that shows that they have identified and responded to practices, situations, and policies that could result in the risk of harm to individuals receiving services specific to the environment of care?</w:t>
            </w:r>
          </w:p>
        </w:tc>
        <w:tc>
          <w:tcPr>
            <w:tcW w:w="3456" w:type="dxa"/>
            <w:shd w:val="clear" w:color="auto" w:fill="FFFFFF" w:themeFill="background1"/>
            <w:tcMar/>
          </w:tcPr>
          <w:p w:rsidRPr="002D3014" w:rsidR="00F949A4" w:rsidP="002D3014" w:rsidRDefault="0001485B" w14:paraId="17518F22" w14:textId="22F66E8A">
            <w:pPr>
              <w:pStyle w:val="ListParagraph"/>
              <w:numPr>
                <w:ilvl w:val="0"/>
                <w:numId w:val="14"/>
              </w:numPr>
              <w:rPr>
                <w:rFonts w:asciiTheme="minorHAnsi" w:hAnsiTheme="minorHAnsi" w:cstheme="minorHAnsi"/>
                <w:bCs/>
              </w:rPr>
            </w:pPr>
            <w:r w:rsidRPr="002D3014">
              <w:rPr>
                <w:rFonts w:asciiTheme="minorHAnsi" w:hAnsiTheme="minorHAnsi" w:cstheme="minorHAnsi"/>
                <w:bCs/>
              </w:rPr>
              <w:t>If the</w:t>
            </w:r>
            <w:r w:rsidRPr="002D3014" w:rsidR="00B16AD2">
              <w:rPr>
                <w:rFonts w:asciiTheme="minorHAnsi" w:hAnsiTheme="minorHAnsi" w:cstheme="minorHAnsi"/>
                <w:bCs/>
              </w:rPr>
              <w:t xml:space="preserve"> provider </w:t>
            </w:r>
            <w:r w:rsidRPr="002D3014" w:rsidR="00EE458A">
              <w:rPr>
                <w:rFonts w:asciiTheme="minorHAnsi" w:hAnsiTheme="minorHAnsi" w:cstheme="minorHAnsi"/>
                <w:bCs/>
              </w:rPr>
              <w:t xml:space="preserve">does not have an annual SRA that shows that they have identified and responded to practices, situations and policies </w:t>
            </w:r>
            <w:r w:rsidRPr="002D3014" w:rsidR="00EE458A">
              <w:rPr>
                <w:rFonts w:asciiTheme="minorHAnsi" w:hAnsiTheme="minorHAnsi" w:eastAsiaTheme="minorHAnsi" w:cstheme="minorHAnsi"/>
                <w:bCs/>
              </w:rPr>
              <w:t>that could result in the risk of harm to individuals receiving services that addresses the environment of care.</w:t>
            </w:r>
          </w:p>
          <w:p w:rsidRPr="002D3014" w:rsidR="002D3014" w:rsidP="002D3014" w:rsidRDefault="0001485B" w14:paraId="796F0FC8" w14:textId="7B9894B3">
            <w:pPr>
              <w:pStyle w:val="ListParagraph"/>
              <w:numPr>
                <w:ilvl w:val="0"/>
                <w:numId w:val="14"/>
              </w:numPr>
              <w:rPr>
                <w:rFonts w:asciiTheme="minorHAnsi" w:hAnsiTheme="minorHAnsi" w:cstheme="minorHAnsi"/>
                <w:bCs/>
              </w:rPr>
            </w:pPr>
            <w:r w:rsidRPr="002D3014">
              <w:rPr>
                <w:rFonts w:asciiTheme="minorHAnsi" w:hAnsiTheme="minorHAnsi" w:cstheme="minorHAnsi"/>
                <w:bCs/>
              </w:rPr>
              <w:t>If the</w:t>
            </w:r>
            <w:r w:rsidRPr="002D3014" w:rsidR="00EE458A">
              <w:rPr>
                <w:rFonts w:asciiTheme="minorHAnsi" w:hAnsiTheme="minorHAnsi" w:cstheme="minorHAnsi"/>
                <w:bCs/>
              </w:rPr>
              <w:t xml:space="preserve"> provider just </w:t>
            </w:r>
            <w:r w:rsidRPr="002D3014" w:rsidR="00EE458A">
              <w:rPr>
                <w:rFonts w:eastAsia="Times New Roman" w:asciiTheme="minorHAnsi" w:hAnsiTheme="minorHAnsi" w:cstheme="minorHAnsi"/>
                <w:color w:val="000000" w:themeColor="text1"/>
              </w:rPr>
              <w:t>includes the results of their safety inspection(s).</w:t>
            </w:r>
          </w:p>
        </w:tc>
      </w:tr>
      <w:tr w:rsidRPr="002D3014" w:rsidR="00F949A4" w:rsidTr="54304272" w14:paraId="15728F32" w14:textId="77777777">
        <w:trPr>
          <w:trHeight w:val="540"/>
        </w:trPr>
        <w:tc>
          <w:tcPr>
            <w:tcW w:w="1147" w:type="dxa"/>
            <w:shd w:val="clear" w:color="auto" w:fill="E7E6E6"/>
            <w:tcMar/>
          </w:tcPr>
          <w:p w:rsidRPr="00203C99" w:rsidR="00F949A4" w:rsidP="00203C99" w:rsidRDefault="00F949A4" w14:paraId="761A6524" w14:textId="1EE2BE27">
            <w:pPr>
              <w:jc w:val="center"/>
              <w:rPr>
                <w:rFonts w:asciiTheme="minorHAnsi" w:hAnsiTheme="minorHAnsi" w:cstheme="minorHAnsi"/>
                <w:b/>
                <w:bCs/>
              </w:rPr>
            </w:pPr>
            <w:r w:rsidRPr="00203C99">
              <w:rPr>
                <w:rFonts w:asciiTheme="minorHAnsi" w:hAnsiTheme="minorHAnsi" w:cstheme="minorHAnsi"/>
                <w:b/>
                <w:bCs/>
              </w:rPr>
              <w:t>520.C.2</w:t>
            </w:r>
          </w:p>
        </w:tc>
        <w:tc>
          <w:tcPr>
            <w:tcW w:w="2700" w:type="dxa"/>
            <w:shd w:val="clear" w:color="auto" w:fill="FFFFFF" w:themeFill="background1"/>
            <w:tcMar/>
          </w:tcPr>
          <w:p w:rsidRPr="002D3014" w:rsidR="00F949A4" w:rsidP="002D3014" w:rsidRDefault="00F949A4" w14:paraId="5D400BA5" w14:textId="6442A993">
            <w:pPr>
              <w:rPr>
                <w:rFonts w:asciiTheme="minorHAnsi" w:hAnsiTheme="minorHAnsi" w:eastAsiaTheme="minorHAnsi" w:cstheme="minorHAnsi"/>
              </w:rPr>
            </w:pPr>
            <w:r w:rsidRPr="002D3014">
              <w:rPr>
                <w:rFonts w:asciiTheme="minorHAnsi" w:hAnsiTheme="minorHAnsi" w:eastAsiaTheme="minorHAnsi" w:cstheme="minorHAnsi"/>
              </w:rPr>
              <w:t>The provider shall conduct systemic risk assessment reviews at least annually to identify and respond to practices, situations, and policies that could result in the risk of harm to individuals receiving services. The risk assessment review shall address at least the following:</w:t>
            </w:r>
          </w:p>
          <w:p w:rsidRPr="002D3014" w:rsidR="00F949A4" w:rsidP="002D3014" w:rsidRDefault="00F949A4" w14:paraId="6DA6FED3" w14:textId="74C7FA3B">
            <w:pPr>
              <w:pStyle w:val="ListParagraph"/>
              <w:ind w:left="720"/>
              <w:rPr>
                <w:rFonts w:asciiTheme="minorHAnsi" w:hAnsiTheme="minorHAnsi" w:eastAsiaTheme="minorHAnsi" w:cstheme="minorHAnsi"/>
              </w:rPr>
            </w:pPr>
            <w:r w:rsidRPr="002D3014">
              <w:rPr>
                <w:rFonts w:asciiTheme="minorHAnsi" w:hAnsiTheme="minorHAnsi" w:eastAsiaTheme="minorHAnsi" w:cstheme="minorHAnsi"/>
              </w:rPr>
              <w:t>2. Clinical assessment or reassessment processes</w:t>
            </w:r>
          </w:p>
        </w:tc>
        <w:tc>
          <w:tcPr>
            <w:tcW w:w="3510" w:type="dxa"/>
            <w:shd w:val="clear" w:color="auto" w:fill="FFFFFF" w:themeFill="background1"/>
            <w:tcMar/>
          </w:tcPr>
          <w:p w:rsidRPr="002D3014" w:rsidR="00F949A4" w:rsidP="002D3014" w:rsidRDefault="007A3E6A" w14:paraId="3A8AE275" w14:textId="45862B7A">
            <w:pPr>
              <w:pStyle w:val="ListParagraph"/>
              <w:numPr>
                <w:ilvl w:val="0"/>
                <w:numId w:val="14"/>
              </w:numPr>
              <w:rPr>
                <w:rFonts w:asciiTheme="minorHAnsi" w:hAnsiTheme="minorHAnsi" w:cstheme="minorHAnsi"/>
              </w:rPr>
            </w:pPr>
            <w:r w:rsidRPr="002D3014">
              <w:rPr>
                <w:rFonts w:eastAsia="Times New Roman" w:asciiTheme="minorHAnsi" w:hAnsiTheme="minorHAnsi" w:cstheme="minorHAnsi"/>
              </w:rPr>
              <w:t>Does the provider have a document that shows that they have identified and responded to practices, situations, and policies that could result in the risk of harm to individuals receiving services specific to clinical assessment or reassessment processes?</w:t>
            </w:r>
          </w:p>
        </w:tc>
        <w:tc>
          <w:tcPr>
            <w:tcW w:w="3456" w:type="dxa"/>
            <w:shd w:val="clear" w:color="auto" w:fill="FFFFFF" w:themeFill="background1"/>
            <w:tcMar/>
          </w:tcPr>
          <w:p w:rsidRPr="002D3014" w:rsidR="0001485B" w:rsidP="002D3014" w:rsidRDefault="0001485B" w14:paraId="1CF322F5" w14:textId="45AB894F">
            <w:pPr>
              <w:pStyle w:val="ListParagraph"/>
              <w:numPr>
                <w:ilvl w:val="0"/>
                <w:numId w:val="14"/>
              </w:numPr>
              <w:rPr>
                <w:rFonts w:asciiTheme="minorHAnsi" w:hAnsiTheme="minorHAnsi" w:cstheme="minorHAnsi"/>
                <w:bCs/>
              </w:rPr>
            </w:pPr>
            <w:r w:rsidRPr="002D3014">
              <w:rPr>
                <w:rFonts w:asciiTheme="minorHAnsi" w:hAnsiTheme="minorHAnsi" w:cstheme="minorHAnsi"/>
                <w:bCs/>
              </w:rPr>
              <w:t>If the</w:t>
            </w:r>
            <w:r w:rsidRPr="002D3014" w:rsidR="00EE458A">
              <w:rPr>
                <w:rFonts w:asciiTheme="minorHAnsi" w:hAnsiTheme="minorHAnsi" w:cstheme="minorHAnsi"/>
                <w:bCs/>
              </w:rPr>
              <w:t xml:space="preserve"> provider does not have an annual SRA that shows that they have identified and responded to practices, situations and policies </w:t>
            </w:r>
            <w:r w:rsidRPr="002D3014" w:rsidR="00EE458A">
              <w:rPr>
                <w:rFonts w:asciiTheme="minorHAnsi" w:hAnsiTheme="minorHAnsi" w:eastAsiaTheme="minorHAnsi" w:cstheme="minorHAnsi"/>
                <w:bCs/>
              </w:rPr>
              <w:t xml:space="preserve">that could result in the risk of harm to individuals receiving services that addresses </w:t>
            </w:r>
            <w:r w:rsidRPr="002D3014" w:rsidR="00EE458A">
              <w:rPr>
                <w:rFonts w:asciiTheme="minorHAnsi" w:hAnsiTheme="minorHAnsi" w:eastAsiaTheme="minorHAnsi" w:cstheme="minorHAnsi"/>
              </w:rPr>
              <w:t>Clinical assessment or reassessment processes</w:t>
            </w:r>
            <w:r w:rsidRPr="002D3014">
              <w:rPr>
                <w:rFonts w:asciiTheme="minorHAnsi" w:hAnsiTheme="minorHAnsi" w:eastAsiaTheme="minorHAnsi" w:cstheme="minorHAnsi"/>
              </w:rPr>
              <w:t>.</w:t>
            </w:r>
          </w:p>
          <w:p w:rsidRPr="002D3014" w:rsidR="00F949A4" w:rsidP="002D3014" w:rsidRDefault="00F949A4" w14:paraId="7D1E7B71" w14:textId="77777777">
            <w:pPr>
              <w:rPr>
                <w:rFonts w:asciiTheme="minorHAnsi" w:hAnsiTheme="minorHAnsi" w:cstheme="minorHAnsi"/>
              </w:rPr>
            </w:pPr>
          </w:p>
        </w:tc>
      </w:tr>
      <w:tr w:rsidRPr="002D3014" w:rsidR="00F949A4" w:rsidTr="54304272" w14:paraId="2AA4BDFE" w14:textId="77777777">
        <w:trPr>
          <w:trHeight w:val="540"/>
        </w:trPr>
        <w:tc>
          <w:tcPr>
            <w:tcW w:w="1147" w:type="dxa"/>
            <w:shd w:val="clear" w:color="auto" w:fill="E7E6E6"/>
            <w:tcMar/>
          </w:tcPr>
          <w:p w:rsidRPr="00203C99" w:rsidR="00F949A4" w:rsidP="00203C99" w:rsidRDefault="00F949A4" w14:paraId="164D76A6" w14:textId="0C77F401">
            <w:pPr>
              <w:jc w:val="center"/>
              <w:rPr>
                <w:rFonts w:asciiTheme="minorHAnsi" w:hAnsiTheme="minorHAnsi" w:cstheme="minorHAnsi"/>
                <w:b/>
                <w:bCs/>
              </w:rPr>
            </w:pPr>
            <w:r w:rsidRPr="00203C99">
              <w:rPr>
                <w:rFonts w:asciiTheme="minorHAnsi" w:hAnsiTheme="minorHAnsi" w:cstheme="minorHAnsi"/>
                <w:b/>
                <w:bCs/>
              </w:rPr>
              <w:t>520.C.3</w:t>
            </w:r>
          </w:p>
        </w:tc>
        <w:tc>
          <w:tcPr>
            <w:tcW w:w="2700" w:type="dxa"/>
            <w:shd w:val="clear" w:color="auto" w:fill="FFFFFF" w:themeFill="background1"/>
            <w:tcMar/>
          </w:tcPr>
          <w:p w:rsidRPr="002D3014" w:rsidR="00F949A4" w:rsidP="002D3014" w:rsidRDefault="00F949A4" w14:paraId="6C70517A" w14:textId="77777777">
            <w:pPr>
              <w:rPr>
                <w:rFonts w:asciiTheme="minorHAnsi" w:hAnsiTheme="minorHAnsi" w:eastAsiaTheme="minorHAnsi" w:cstheme="minorHAnsi"/>
              </w:rPr>
            </w:pPr>
            <w:r w:rsidRPr="002D3014">
              <w:rPr>
                <w:rFonts w:asciiTheme="minorHAnsi" w:hAnsiTheme="minorHAnsi" w:eastAsiaTheme="minorHAnsi" w:cstheme="minorHAnsi"/>
              </w:rPr>
              <w:t xml:space="preserve">The provider shall conduct systemic risk assessment reviews at least annually to identify and respond to practices, situations, and policies that could result in the risk of harm to individuals receiving services. The risk </w:t>
            </w:r>
            <w:r w:rsidRPr="002D3014">
              <w:rPr>
                <w:rFonts w:asciiTheme="minorHAnsi" w:hAnsiTheme="minorHAnsi" w:eastAsiaTheme="minorHAnsi" w:cstheme="minorHAnsi"/>
              </w:rPr>
              <w:lastRenderedPageBreak/>
              <w:t>assessment review shall address at least the following:</w:t>
            </w:r>
          </w:p>
          <w:p w:rsidRPr="002D3014" w:rsidR="00F949A4" w:rsidP="002D3014" w:rsidRDefault="00F949A4" w14:paraId="34CD8E42" w14:textId="1ABAE3AC">
            <w:pPr>
              <w:ind w:left="720"/>
              <w:rPr>
                <w:rFonts w:asciiTheme="minorHAnsi" w:hAnsiTheme="minorHAnsi" w:eastAsiaTheme="minorHAnsi" w:cstheme="minorHAnsi"/>
              </w:rPr>
            </w:pPr>
            <w:r w:rsidRPr="002D3014">
              <w:rPr>
                <w:rFonts w:asciiTheme="minorHAnsi" w:hAnsiTheme="minorHAnsi" w:eastAsiaTheme="minorHAnsi" w:cstheme="minorHAnsi"/>
              </w:rPr>
              <w:t>3. Staff competence and adequacy of staffing</w:t>
            </w:r>
          </w:p>
        </w:tc>
        <w:tc>
          <w:tcPr>
            <w:tcW w:w="3510" w:type="dxa"/>
            <w:shd w:val="clear" w:color="auto" w:fill="FFFFFF" w:themeFill="background1"/>
            <w:tcMar/>
          </w:tcPr>
          <w:p w:rsidRPr="002D3014" w:rsidR="00F949A4" w:rsidP="002D3014" w:rsidRDefault="007A3E6A" w14:paraId="4CD73D30" w14:textId="36A8BABF">
            <w:pPr>
              <w:pStyle w:val="ListParagraph"/>
              <w:numPr>
                <w:ilvl w:val="0"/>
                <w:numId w:val="14"/>
              </w:numPr>
              <w:rPr>
                <w:rFonts w:asciiTheme="minorHAnsi" w:hAnsiTheme="minorHAnsi" w:cstheme="minorHAnsi"/>
              </w:rPr>
            </w:pPr>
            <w:r w:rsidRPr="002D3014">
              <w:rPr>
                <w:rFonts w:eastAsia="Times New Roman" w:asciiTheme="minorHAnsi" w:hAnsiTheme="minorHAnsi" w:cstheme="minorHAnsi"/>
              </w:rPr>
              <w:lastRenderedPageBreak/>
              <w:t xml:space="preserve">Does the provider have a document that shows that they have identified and responded to practices, situations, and policies that could result in the risk of harm to individuals receiving services specific to staff </w:t>
            </w:r>
            <w:r w:rsidRPr="002D3014">
              <w:rPr>
                <w:rFonts w:eastAsia="Times New Roman" w:asciiTheme="minorHAnsi" w:hAnsiTheme="minorHAnsi" w:cstheme="minorHAnsi"/>
              </w:rPr>
              <w:lastRenderedPageBreak/>
              <w:t>competence and adequacy of staffing?</w:t>
            </w:r>
          </w:p>
        </w:tc>
        <w:tc>
          <w:tcPr>
            <w:tcW w:w="3456" w:type="dxa"/>
            <w:shd w:val="clear" w:color="auto" w:fill="FFFFFF" w:themeFill="background1"/>
            <w:tcMar/>
          </w:tcPr>
          <w:p w:rsidRPr="002D3014" w:rsidR="00F949A4" w:rsidP="002D3014" w:rsidRDefault="0001485B" w14:paraId="450F6BC2" w14:textId="4E41FBFD">
            <w:pPr>
              <w:pStyle w:val="ListParagraph"/>
              <w:numPr>
                <w:ilvl w:val="0"/>
                <w:numId w:val="14"/>
              </w:numPr>
              <w:rPr>
                <w:rFonts w:asciiTheme="minorHAnsi" w:hAnsiTheme="minorHAnsi" w:eastAsiaTheme="minorHAnsi" w:cstheme="minorHAnsi"/>
              </w:rPr>
            </w:pPr>
            <w:r w:rsidRPr="002D3014">
              <w:rPr>
                <w:rFonts w:asciiTheme="minorHAnsi" w:hAnsiTheme="minorHAnsi" w:cstheme="minorHAnsi"/>
                <w:bCs/>
              </w:rPr>
              <w:lastRenderedPageBreak/>
              <w:t>If the</w:t>
            </w:r>
            <w:r w:rsidRPr="002D3014" w:rsidR="00EE458A">
              <w:rPr>
                <w:rFonts w:asciiTheme="minorHAnsi" w:hAnsiTheme="minorHAnsi" w:cstheme="minorHAnsi"/>
                <w:bCs/>
              </w:rPr>
              <w:t xml:space="preserve"> provider does not have an annual SRA that shows that they have identified and responded to practices, situations and policies </w:t>
            </w:r>
            <w:r w:rsidRPr="002D3014" w:rsidR="00EE458A">
              <w:rPr>
                <w:rFonts w:asciiTheme="minorHAnsi" w:hAnsiTheme="minorHAnsi" w:eastAsiaTheme="minorHAnsi" w:cstheme="minorHAnsi"/>
                <w:bCs/>
              </w:rPr>
              <w:t xml:space="preserve">that could result in the risk of harm to individuals receiving services that addresses </w:t>
            </w:r>
            <w:r w:rsidRPr="002D3014" w:rsidR="00EE458A">
              <w:rPr>
                <w:rFonts w:asciiTheme="minorHAnsi" w:hAnsiTheme="minorHAnsi" w:eastAsiaTheme="minorHAnsi" w:cstheme="minorHAnsi"/>
              </w:rPr>
              <w:t xml:space="preserve">staff </w:t>
            </w:r>
            <w:r w:rsidRPr="002D3014" w:rsidR="00EE458A">
              <w:rPr>
                <w:rFonts w:asciiTheme="minorHAnsi" w:hAnsiTheme="minorHAnsi" w:eastAsiaTheme="minorHAnsi" w:cstheme="minorHAnsi"/>
              </w:rPr>
              <w:lastRenderedPageBreak/>
              <w:t>competence and adequacy of staffing.</w:t>
            </w:r>
          </w:p>
          <w:p w:rsidRPr="002D3014" w:rsidR="0001485B" w:rsidP="002D3014" w:rsidRDefault="00EE458A" w14:paraId="785331A7" w14:textId="390B6A7D">
            <w:pPr>
              <w:pStyle w:val="ListParagraph"/>
              <w:numPr>
                <w:ilvl w:val="0"/>
                <w:numId w:val="14"/>
              </w:numPr>
              <w:rPr>
                <w:rFonts w:asciiTheme="minorHAnsi" w:hAnsiTheme="minorHAnsi" w:cstheme="minorHAnsi"/>
                <w:bCs/>
              </w:rPr>
            </w:pPr>
            <w:r w:rsidRPr="002D3014">
              <w:rPr>
                <w:rFonts w:asciiTheme="minorHAnsi" w:hAnsiTheme="minorHAnsi" w:cstheme="minorHAnsi"/>
                <w:bCs/>
              </w:rPr>
              <w:t>If the</w:t>
            </w:r>
            <w:r w:rsidRPr="002D3014" w:rsidR="00DE2465">
              <w:rPr>
                <w:rFonts w:asciiTheme="minorHAnsi" w:hAnsiTheme="minorHAnsi" w:cstheme="minorHAnsi"/>
                <w:bCs/>
              </w:rPr>
              <w:t xml:space="preserve"> provider does not</w:t>
            </w:r>
            <w:r w:rsidRPr="002D3014">
              <w:rPr>
                <w:rFonts w:asciiTheme="minorHAnsi" w:hAnsiTheme="minorHAnsi" w:cstheme="minorHAnsi"/>
                <w:bCs/>
              </w:rPr>
              <w:t xml:space="preserve"> address both staff competence and adequacy of staffing.</w:t>
            </w:r>
          </w:p>
        </w:tc>
      </w:tr>
      <w:tr w:rsidRPr="002D3014" w:rsidR="00F949A4" w:rsidTr="54304272" w14:paraId="3DEFC343" w14:textId="77777777">
        <w:trPr>
          <w:trHeight w:val="540"/>
        </w:trPr>
        <w:tc>
          <w:tcPr>
            <w:tcW w:w="1147" w:type="dxa"/>
            <w:shd w:val="clear" w:color="auto" w:fill="E7E6E6"/>
            <w:tcMar/>
          </w:tcPr>
          <w:p w:rsidRPr="00203C99" w:rsidR="00F949A4" w:rsidP="00203C99" w:rsidRDefault="00F949A4" w14:paraId="7D381D50" w14:textId="59AA5287">
            <w:pPr>
              <w:jc w:val="center"/>
              <w:rPr>
                <w:rFonts w:asciiTheme="minorHAnsi" w:hAnsiTheme="minorHAnsi" w:cstheme="minorHAnsi"/>
                <w:b/>
                <w:bCs/>
              </w:rPr>
            </w:pPr>
            <w:r w:rsidRPr="00203C99">
              <w:rPr>
                <w:rFonts w:asciiTheme="minorHAnsi" w:hAnsiTheme="minorHAnsi" w:cstheme="minorHAnsi"/>
                <w:b/>
                <w:bCs/>
              </w:rPr>
              <w:lastRenderedPageBreak/>
              <w:t>520.C.4</w:t>
            </w:r>
          </w:p>
        </w:tc>
        <w:tc>
          <w:tcPr>
            <w:tcW w:w="2700" w:type="dxa"/>
            <w:shd w:val="clear" w:color="auto" w:fill="FFFFFF" w:themeFill="background1"/>
            <w:tcMar/>
          </w:tcPr>
          <w:p w:rsidRPr="002D3014" w:rsidR="00F949A4" w:rsidP="002D3014" w:rsidRDefault="00F949A4" w14:paraId="003ADB79" w14:textId="77777777">
            <w:pPr>
              <w:rPr>
                <w:rFonts w:asciiTheme="minorHAnsi" w:hAnsiTheme="minorHAnsi" w:eastAsiaTheme="minorHAnsi" w:cstheme="minorHAnsi"/>
              </w:rPr>
            </w:pPr>
            <w:r w:rsidRPr="002D3014">
              <w:rPr>
                <w:rFonts w:asciiTheme="minorHAnsi" w:hAnsiTheme="minorHAnsi" w:eastAsiaTheme="minorHAnsi" w:cstheme="minorHAnsi"/>
              </w:rPr>
              <w:t>The provider shall conduct systemic risk assessment reviews at least annually to identify and respond to practices, situations, and policies that could result in the risk of harm to individuals receiving services. The risk assessment review shall address at least the following:</w:t>
            </w:r>
          </w:p>
          <w:p w:rsidRPr="002D3014" w:rsidR="00F949A4" w:rsidP="002D3014" w:rsidRDefault="00F949A4" w14:paraId="6CC977A7" w14:textId="1E14BBBD">
            <w:pPr>
              <w:pStyle w:val="ListParagraph"/>
              <w:ind w:left="720"/>
              <w:rPr>
                <w:rFonts w:asciiTheme="minorHAnsi" w:hAnsiTheme="minorHAnsi" w:eastAsiaTheme="minorHAnsi" w:cstheme="minorHAnsi"/>
              </w:rPr>
            </w:pPr>
            <w:r w:rsidRPr="002D3014">
              <w:rPr>
                <w:rFonts w:asciiTheme="minorHAnsi" w:hAnsiTheme="minorHAnsi" w:eastAsiaTheme="minorHAnsi" w:cstheme="minorHAnsi"/>
              </w:rPr>
              <w:t xml:space="preserve">4. Use of </w:t>
            </w:r>
            <w:proofErr w:type="gramStart"/>
            <w:r w:rsidRPr="002D3014">
              <w:rPr>
                <w:rFonts w:asciiTheme="minorHAnsi" w:hAnsiTheme="minorHAnsi" w:eastAsiaTheme="minorHAnsi" w:cstheme="minorHAnsi"/>
              </w:rPr>
              <w:t>high risk</w:t>
            </w:r>
            <w:proofErr w:type="gramEnd"/>
            <w:r w:rsidRPr="002D3014">
              <w:rPr>
                <w:rFonts w:asciiTheme="minorHAnsi" w:hAnsiTheme="minorHAnsi" w:eastAsiaTheme="minorHAnsi" w:cstheme="minorHAnsi"/>
              </w:rPr>
              <w:t xml:space="preserve"> procedures, including seclusion and restraint; and</w:t>
            </w:r>
          </w:p>
        </w:tc>
        <w:tc>
          <w:tcPr>
            <w:tcW w:w="3510" w:type="dxa"/>
            <w:shd w:val="clear" w:color="auto" w:fill="FFFFFF" w:themeFill="background1"/>
            <w:tcMar/>
          </w:tcPr>
          <w:p w:rsidRPr="002D3014" w:rsidR="00F949A4" w:rsidP="002D3014" w:rsidRDefault="007A3E6A" w14:paraId="08002999" w14:textId="438926B3">
            <w:pPr>
              <w:pStyle w:val="ListParagraph"/>
              <w:numPr>
                <w:ilvl w:val="0"/>
                <w:numId w:val="14"/>
              </w:numPr>
              <w:rPr>
                <w:rFonts w:asciiTheme="minorHAnsi" w:hAnsiTheme="minorHAnsi" w:cstheme="minorHAnsi"/>
              </w:rPr>
            </w:pPr>
            <w:r w:rsidRPr="002D3014">
              <w:rPr>
                <w:rFonts w:eastAsia="Times New Roman" w:asciiTheme="minorHAnsi" w:hAnsiTheme="minorHAnsi" w:cstheme="minorHAnsi"/>
              </w:rPr>
              <w:t>Does the provider have a document that shows that they have identified and responded to practices, situations, and policies that could result in the risk of harm to individuals receiving services specific to the use of high-risk procedures, including seclusion and restraint?</w:t>
            </w:r>
          </w:p>
        </w:tc>
        <w:tc>
          <w:tcPr>
            <w:tcW w:w="3456" w:type="dxa"/>
            <w:shd w:val="clear" w:color="auto" w:fill="FFFFFF" w:themeFill="background1"/>
            <w:tcMar/>
          </w:tcPr>
          <w:p w:rsidRPr="002D3014" w:rsidR="0001485B" w:rsidP="002D3014" w:rsidRDefault="0001485B" w14:paraId="094883AA" w14:textId="4D8C653D">
            <w:pPr>
              <w:pStyle w:val="ListParagraph"/>
              <w:numPr>
                <w:ilvl w:val="0"/>
                <w:numId w:val="14"/>
              </w:numPr>
              <w:rPr>
                <w:rFonts w:asciiTheme="minorHAnsi" w:hAnsiTheme="minorHAnsi" w:cstheme="minorHAnsi"/>
              </w:rPr>
            </w:pPr>
            <w:r w:rsidRPr="002D3014">
              <w:rPr>
                <w:rFonts w:asciiTheme="minorHAnsi" w:hAnsiTheme="minorHAnsi" w:cstheme="minorHAnsi"/>
                <w:bCs/>
              </w:rPr>
              <w:t>If the</w:t>
            </w:r>
            <w:r w:rsidRPr="002D3014" w:rsidR="00EE458A">
              <w:rPr>
                <w:rFonts w:asciiTheme="minorHAnsi" w:hAnsiTheme="minorHAnsi" w:cstheme="minorHAnsi"/>
                <w:bCs/>
              </w:rPr>
              <w:t xml:space="preserve"> provider does not have an annual SRA that shows that they have identified and responded to practices, situations and policies </w:t>
            </w:r>
            <w:r w:rsidRPr="002D3014" w:rsidR="00EE458A">
              <w:rPr>
                <w:rFonts w:asciiTheme="minorHAnsi" w:hAnsiTheme="minorHAnsi" w:eastAsiaTheme="minorHAnsi" w:cstheme="minorHAnsi"/>
                <w:bCs/>
              </w:rPr>
              <w:t xml:space="preserve">that could result in the risk of harm to individuals receiving services that addresses </w:t>
            </w:r>
            <w:r w:rsidRPr="002D3014" w:rsidR="00EE458A">
              <w:rPr>
                <w:rFonts w:asciiTheme="minorHAnsi" w:hAnsiTheme="minorHAnsi" w:eastAsiaTheme="minorHAnsi" w:cstheme="minorHAnsi"/>
              </w:rPr>
              <w:t>use of high</w:t>
            </w:r>
            <w:r w:rsidRPr="002D3014" w:rsidR="00DE2465">
              <w:rPr>
                <w:rFonts w:asciiTheme="minorHAnsi" w:hAnsiTheme="minorHAnsi" w:eastAsiaTheme="minorHAnsi" w:cstheme="minorHAnsi"/>
              </w:rPr>
              <w:t>-</w:t>
            </w:r>
            <w:r w:rsidRPr="002D3014" w:rsidR="00EE458A">
              <w:rPr>
                <w:rFonts w:asciiTheme="minorHAnsi" w:hAnsiTheme="minorHAnsi" w:eastAsiaTheme="minorHAnsi" w:cstheme="minorHAnsi"/>
              </w:rPr>
              <w:t>risk procedures, including seclusion and restraint.</w:t>
            </w:r>
          </w:p>
        </w:tc>
      </w:tr>
      <w:tr w:rsidRPr="002D3014" w:rsidR="00F949A4" w:rsidTr="54304272" w14:paraId="04177205" w14:textId="77777777">
        <w:trPr>
          <w:trHeight w:val="540"/>
        </w:trPr>
        <w:tc>
          <w:tcPr>
            <w:tcW w:w="1147" w:type="dxa"/>
            <w:shd w:val="clear" w:color="auto" w:fill="E7E6E6"/>
            <w:tcMar/>
          </w:tcPr>
          <w:p w:rsidRPr="00203C99" w:rsidR="00F949A4" w:rsidP="00203C99" w:rsidRDefault="00F949A4" w14:paraId="027AE37F" w14:textId="1D795347">
            <w:pPr>
              <w:jc w:val="center"/>
              <w:rPr>
                <w:rFonts w:asciiTheme="minorHAnsi" w:hAnsiTheme="minorHAnsi" w:cstheme="minorHAnsi"/>
                <w:b/>
                <w:bCs/>
              </w:rPr>
            </w:pPr>
            <w:r w:rsidRPr="00203C99">
              <w:rPr>
                <w:rFonts w:asciiTheme="minorHAnsi" w:hAnsiTheme="minorHAnsi" w:cstheme="minorHAnsi"/>
                <w:b/>
                <w:bCs/>
              </w:rPr>
              <w:t>520.C.5</w:t>
            </w:r>
          </w:p>
        </w:tc>
        <w:tc>
          <w:tcPr>
            <w:tcW w:w="2700" w:type="dxa"/>
            <w:shd w:val="clear" w:color="auto" w:fill="FFFFFF" w:themeFill="background1"/>
            <w:tcMar/>
          </w:tcPr>
          <w:p w:rsidRPr="002D3014" w:rsidR="00F949A4" w:rsidP="002D3014" w:rsidRDefault="00F949A4" w14:paraId="741ABF3E" w14:textId="77777777">
            <w:pPr>
              <w:pStyle w:val="ListParagraph"/>
              <w:numPr>
                <w:ilvl w:val="0"/>
                <w:numId w:val="14"/>
              </w:numPr>
              <w:rPr>
                <w:rFonts w:asciiTheme="minorHAnsi" w:hAnsiTheme="minorHAnsi" w:eastAsiaTheme="minorHAnsi" w:cstheme="minorHAnsi"/>
              </w:rPr>
            </w:pPr>
            <w:r w:rsidRPr="002D3014">
              <w:rPr>
                <w:rFonts w:asciiTheme="minorHAnsi" w:hAnsiTheme="minorHAnsi" w:eastAsiaTheme="minorHAnsi" w:cstheme="minorHAnsi"/>
              </w:rPr>
              <w:t>The provider shall conduct systemic risk assessment reviews at least annually to identify and respond to practices, situations, and policies that could result in the risk of harm to individuals receiving services. The risk assessment review shall address at least the following:</w:t>
            </w:r>
          </w:p>
          <w:p w:rsidRPr="002D3014" w:rsidR="00F949A4" w:rsidP="002D3014" w:rsidRDefault="00F949A4" w14:paraId="3F761E4F" w14:textId="70939CBC">
            <w:pPr>
              <w:pStyle w:val="ListParagraph"/>
              <w:numPr>
                <w:ilvl w:val="0"/>
                <w:numId w:val="14"/>
              </w:numPr>
              <w:rPr>
                <w:rFonts w:asciiTheme="minorHAnsi" w:hAnsiTheme="minorHAnsi" w:eastAsiaTheme="minorHAnsi" w:cstheme="minorHAnsi"/>
              </w:rPr>
            </w:pPr>
            <w:r w:rsidRPr="002D3014">
              <w:rPr>
                <w:rFonts w:asciiTheme="minorHAnsi" w:hAnsiTheme="minorHAnsi" w:eastAsiaTheme="minorHAnsi" w:cstheme="minorHAnsi"/>
              </w:rPr>
              <w:t>5. A review of serious incidents.</w:t>
            </w:r>
          </w:p>
        </w:tc>
        <w:tc>
          <w:tcPr>
            <w:tcW w:w="3510" w:type="dxa"/>
            <w:shd w:val="clear" w:color="auto" w:fill="FFFFFF" w:themeFill="background1"/>
            <w:tcMar/>
          </w:tcPr>
          <w:p w:rsidRPr="002D3014" w:rsidR="00DE2465" w:rsidP="002D3014" w:rsidRDefault="007A3E6A" w14:paraId="1D4B094B" w14:textId="77777777">
            <w:pPr>
              <w:pStyle w:val="ListParagraph"/>
              <w:numPr>
                <w:ilvl w:val="0"/>
                <w:numId w:val="14"/>
              </w:numPr>
              <w:rPr>
                <w:rFonts w:asciiTheme="minorHAnsi" w:hAnsiTheme="minorHAnsi" w:cstheme="minorHAnsi"/>
              </w:rPr>
            </w:pPr>
            <w:r w:rsidRPr="002D3014">
              <w:rPr>
                <w:rFonts w:eastAsia="Times New Roman" w:asciiTheme="minorHAnsi" w:hAnsiTheme="minorHAnsi" w:cstheme="minorHAnsi"/>
              </w:rPr>
              <w:t xml:space="preserve">Does the provider have a document that shows that they have </w:t>
            </w:r>
            <w:r w:rsidRPr="002D3014" w:rsidR="00DE2465">
              <w:rPr>
                <w:rFonts w:eastAsia="Times New Roman" w:asciiTheme="minorHAnsi" w:hAnsiTheme="minorHAnsi" w:cstheme="minorHAnsi"/>
              </w:rPr>
              <w:t xml:space="preserve">completed a </w:t>
            </w:r>
            <w:r w:rsidRPr="002D3014" w:rsidR="00DE2465">
              <w:rPr>
                <w:rStyle w:val="normaltextrun"/>
                <w:rFonts w:asciiTheme="minorHAnsi" w:hAnsiTheme="minorHAnsi" w:cstheme="minorHAnsi"/>
              </w:rPr>
              <w:t xml:space="preserve">review of serious incidents including consideration of </w:t>
            </w:r>
            <w:r w:rsidRPr="002D3014" w:rsidR="00DE2465">
              <w:rPr>
                <w:rFonts w:asciiTheme="minorHAnsi" w:hAnsiTheme="minorHAnsi" w:cstheme="minorHAnsi"/>
              </w:rPr>
              <w:t>harms and risks identified and lessons learned from the provider’s quarterly reviews of all serious incidents conducted pursuant to 12VAC35-105-160.C?</w:t>
            </w:r>
          </w:p>
          <w:p w:rsidRPr="002D3014" w:rsidR="00DE2465" w:rsidP="002D3014" w:rsidRDefault="00DE2465" w14:paraId="572E3CF0" w14:textId="77777777">
            <w:pPr>
              <w:pStyle w:val="ListParagraph"/>
              <w:numPr>
                <w:ilvl w:val="0"/>
                <w:numId w:val="14"/>
              </w:numPr>
              <w:rPr>
                <w:rFonts w:eastAsia="Times New Roman" w:asciiTheme="minorHAnsi" w:hAnsiTheme="minorHAnsi" w:cstheme="minorHAnsi"/>
              </w:rPr>
            </w:pPr>
            <w:r w:rsidRPr="002D3014">
              <w:rPr>
                <w:rFonts w:asciiTheme="minorHAnsi" w:hAnsiTheme="minorHAnsi" w:cstheme="minorHAnsi"/>
              </w:rPr>
              <w:t>Does this include an analysis of trends, from incidents and investigations, potential systemic issues or causes, indicated remediation, and documentation of steps taken to mitigate the potential for future incidents?</w:t>
            </w:r>
          </w:p>
          <w:p w:rsidRPr="002D3014" w:rsidR="00DE2465" w:rsidP="002D3014" w:rsidRDefault="00DE2465" w14:paraId="34ED8A8D" w14:textId="4215C8F8">
            <w:pPr>
              <w:pStyle w:val="ListParagraph"/>
              <w:numPr>
                <w:ilvl w:val="0"/>
                <w:numId w:val="14"/>
              </w:numPr>
              <w:rPr>
                <w:rFonts w:eastAsia="Times New Roman" w:asciiTheme="minorHAnsi" w:hAnsiTheme="minorHAnsi" w:cstheme="minorHAnsi"/>
              </w:rPr>
            </w:pPr>
            <w:r w:rsidRPr="002D3014">
              <w:rPr>
                <w:rFonts w:asciiTheme="minorHAnsi" w:hAnsiTheme="minorHAnsi" w:cstheme="minorHAnsi"/>
              </w:rPr>
              <w:t xml:space="preserve">Is there documented evidence that data is being tracked </w:t>
            </w:r>
            <w:proofErr w:type="gramStart"/>
            <w:r w:rsidRPr="002D3014">
              <w:rPr>
                <w:rFonts w:asciiTheme="minorHAnsi" w:hAnsiTheme="minorHAnsi" w:cstheme="minorHAnsi"/>
              </w:rPr>
              <w:t>in order to</w:t>
            </w:r>
            <w:proofErr w:type="gramEnd"/>
            <w:r w:rsidRPr="002D3014">
              <w:rPr>
                <w:rFonts w:asciiTheme="minorHAnsi" w:hAnsiTheme="minorHAnsi" w:cstheme="minorHAnsi"/>
              </w:rPr>
              <w:t xml:space="preserve"> evaluate trends and patterns over time?</w:t>
            </w:r>
          </w:p>
          <w:p w:rsidRPr="002D3014" w:rsidR="00DE2465" w:rsidP="002D3014" w:rsidRDefault="00DE2465" w14:paraId="317585C2" w14:textId="3FEB7CE1">
            <w:pPr>
              <w:pStyle w:val="ListParagraph"/>
              <w:numPr>
                <w:ilvl w:val="0"/>
                <w:numId w:val="14"/>
              </w:numPr>
              <w:rPr>
                <w:rFonts w:eastAsia="Times New Roman" w:asciiTheme="minorHAnsi" w:hAnsiTheme="minorHAnsi" w:cstheme="minorHAnsi"/>
              </w:rPr>
            </w:pPr>
            <w:r w:rsidRPr="002D3014">
              <w:rPr>
                <w:rFonts w:asciiTheme="minorHAnsi" w:hAnsiTheme="minorHAnsi" w:cstheme="minorHAnsi"/>
              </w:rPr>
              <w:t>If there is a year of data, did the provider use this baseline data to assess the effectiveness of their Risk Management System?</w:t>
            </w:r>
          </w:p>
        </w:tc>
        <w:tc>
          <w:tcPr>
            <w:tcW w:w="3456" w:type="dxa"/>
            <w:shd w:val="clear" w:color="auto" w:fill="FFFFFF" w:themeFill="background1"/>
            <w:tcMar/>
          </w:tcPr>
          <w:p w:rsidRPr="0067284E" w:rsidR="00DE2465" w:rsidP="0067284E" w:rsidRDefault="00DE2465" w14:paraId="6D02DAA6" w14:textId="5582B0C8">
            <w:pPr>
              <w:pStyle w:val="ListParagraph"/>
              <w:numPr>
                <w:ilvl w:val="0"/>
                <w:numId w:val="14"/>
              </w:numPr>
              <w:rPr>
                <w:rStyle w:val="normaltextrun"/>
                <w:rFonts w:asciiTheme="minorHAnsi" w:hAnsiTheme="minorHAnsi" w:cstheme="minorHAnsi"/>
              </w:rPr>
            </w:pPr>
            <w:r w:rsidRPr="0067284E">
              <w:rPr>
                <w:rStyle w:val="normaltextrun"/>
                <w:rFonts w:asciiTheme="minorHAnsi" w:hAnsiTheme="minorHAnsi" w:cstheme="minorHAnsi"/>
              </w:rPr>
              <w:t>If the provider does not use data at the individual and/or provider level, including at minimum data from incidents and investigations, to identify and address trends and patterns of harm and risk of harm (defined as care concerns) in the events reported</w:t>
            </w:r>
            <w:r w:rsidRPr="0067284E" w:rsidR="0001485B">
              <w:rPr>
                <w:rStyle w:val="normaltextrun"/>
                <w:rFonts w:asciiTheme="minorHAnsi" w:hAnsiTheme="minorHAnsi" w:cstheme="minorHAnsi"/>
              </w:rPr>
              <w:t>.</w:t>
            </w:r>
            <w:r w:rsidRPr="0067284E">
              <w:rPr>
                <w:rStyle w:val="normaltextrun"/>
                <w:rFonts w:asciiTheme="minorHAnsi" w:hAnsiTheme="minorHAnsi" w:cstheme="minorHAnsi"/>
              </w:rPr>
              <w:t> </w:t>
            </w:r>
            <w:r w:rsidRPr="0067284E">
              <w:rPr>
                <w:rStyle w:val="eop"/>
                <w:rFonts w:asciiTheme="minorHAnsi" w:hAnsiTheme="minorHAnsi" w:cstheme="minorHAnsi"/>
              </w:rPr>
              <w:t> </w:t>
            </w:r>
          </w:p>
          <w:p w:rsidRPr="002D3014" w:rsidR="0001485B" w:rsidP="002D3014" w:rsidRDefault="00DE2465" w14:paraId="48035BE7" w14:textId="7D07B54A">
            <w:pPr>
              <w:pStyle w:val="ListParagraph"/>
              <w:numPr>
                <w:ilvl w:val="0"/>
                <w:numId w:val="14"/>
              </w:numPr>
              <w:rPr>
                <w:rStyle w:val="normaltextrun"/>
                <w:rFonts w:asciiTheme="minorHAnsi" w:hAnsiTheme="minorHAnsi" w:cstheme="minorHAnsi"/>
              </w:rPr>
            </w:pPr>
            <w:r w:rsidRPr="002D3014">
              <w:rPr>
                <w:rStyle w:val="normaltextrun"/>
                <w:rFonts w:asciiTheme="minorHAnsi" w:hAnsiTheme="minorHAnsi" w:cstheme="minorHAnsi"/>
                <w:color w:val="000000"/>
              </w:rPr>
              <w:t xml:space="preserve">If there is no evidence that the provider is tracking data </w:t>
            </w:r>
            <w:proofErr w:type="gramStart"/>
            <w:r w:rsidRPr="002D3014">
              <w:rPr>
                <w:rStyle w:val="advancedproofingissue"/>
                <w:rFonts w:asciiTheme="minorHAnsi" w:hAnsiTheme="minorHAnsi" w:cstheme="minorHAnsi"/>
                <w:color w:val="000000"/>
              </w:rPr>
              <w:t>in orde</w:t>
            </w:r>
            <w:r w:rsidR="002D3014">
              <w:rPr>
                <w:rStyle w:val="advancedproofingissue"/>
                <w:rFonts w:asciiTheme="minorHAnsi" w:hAnsiTheme="minorHAnsi" w:cstheme="minorHAnsi"/>
                <w:color w:val="000000"/>
              </w:rPr>
              <w:t xml:space="preserve">r </w:t>
            </w:r>
            <w:r w:rsidRPr="002D3014">
              <w:rPr>
                <w:rStyle w:val="advancedproofingissue"/>
                <w:rFonts w:asciiTheme="minorHAnsi" w:hAnsiTheme="minorHAnsi" w:cstheme="minorHAnsi"/>
                <w:color w:val="000000"/>
              </w:rPr>
              <w:t>to</w:t>
            </w:r>
            <w:proofErr w:type="gramEnd"/>
            <w:r w:rsidRPr="002D3014">
              <w:rPr>
                <w:rStyle w:val="normaltextrun"/>
                <w:rFonts w:asciiTheme="minorHAnsi" w:hAnsiTheme="minorHAnsi" w:cstheme="minorHAnsi"/>
                <w:color w:val="000000"/>
              </w:rPr>
              <w:t xml:space="preserve"> evaluate trends and patterns over time, including year-over-year as applicable</w:t>
            </w:r>
            <w:r w:rsidRPr="002D3014" w:rsidR="0001485B">
              <w:rPr>
                <w:rStyle w:val="normaltextrun"/>
                <w:rFonts w:asciiTheme="minorHAnsi" w:hAnsiTheme="minorHAnsi" w:cstheme="minorHAnsi"/>
                <w:color w:val="000000"/>
              </w:rPr>
              <w:t>.</w:t>
            </w:r>
          </w:p>
          <w:p w:rsidRPr="002D3014" w:rsidR="00DE2465" w:rsidP="002D3014" w:rsidRDefault="0001485B" w14:paraId="323AAE07" w14:textId="57BD42A7">
            <w:pPr>
              <w:pStyle w:val="ListParagraph"/>
              <w:numPr>
                <w:ilvl w:val="0"/>
                <w:numId w:val="14"/>
              </w:numPr>
              <w:rPr>
                <w:rStyle w:val="normaltextrun"/>
                <w:rFonts w:asciiTheme="minorHAnsi" w:hAnsiTheme="minorHAnsi" w:cstheme="minorHAnsi"/>
              </w:rPr>
            </w:pPr>
            <w:r w:rsidRPr="002D3014">
              <w:rPr>
                <w:rStyle w:val="normaltextrun"/>
                <w:rFonts w:asciiTheme="minorHAnsi" w:hAnsiTheme="minorHAnsi" w:cstheme="minorHAnsi"/>
                <w:color w:val="000000"/>
              </w:rPr>
              <w:t>If a</w:t>
            </w:r>
            <w:r w:rsidRPr="002D3014" w:rsidR="00DE2465">
              <w:rPr>
                <w:rStyle w:val="normaltextrun"/>
                <w:rFonts w:asciiTheme="minorHAnsi" w:hAnsiTheme="minorHAnsi" w:cstheme="minorHAnsi"/>
                <w:color w:val="000000"/>
              </w:rPr>
              <w:t xml:space="preserve">fter a year of tracking data, the provider </w:t>
            </w:r>
            <w:r w:rsidRPr="002D3014">
              <w:rPr>
                <w:rStyle w:val="normaltextrun"/>
                <w:rFonts w:asciiTheme="minorHAnsi" w:hAnsiTheme="minorHAnsi" w:cstheme="minorHAnsi"/>
                <w:color w:val="000000"/>
              </w:rPr>
              <w:t xml:space="preserve">did not </w:t>
            </w:r>
            <w:r w:rsidRPr="002D3014" w:rsidR="00DE2465">
              <w:rPr>
                <w:rStyle w:val="normaltextrun"/>
                <w:rFonts w:asciiTheme="minorHAnsi" w:hAnsiTheme="minorHAnsi" w:cstheme="minorHAnsi"/>
                <w:color w:val="000000"/>
              </w:rPr>
              <w:t>use this baseline data to assess the effectiveness of their Risk Management System.</w:t>
            </w:r>
            <w:r w:rsidRPr="002D3014" w:rsidR="00DE2465">
              <w:rPr>
                <w:rStyle w:val="eop"/>
                <w:rFonts w:asciiTheme="minorHAnsi" w:hAnsiTheme="minorHAnsi" w:cstheme="minorHAnsi"/>
                <w:color w:val="000000"/>
              </w:rPr>
              <w:t> </w:t>
            </w:r>
          </w:p>
          <w:p w:rsidRPr="002D3014" w:rsidR="00DE2465" w:rsidP="002D3014" w:rsidRDefault="00DE2465" w14:paraId="5231C278" w14:textId="28A13A86">
            <w:pPr>
              <w:pStyle w:val="ListParagraph"/>
              <w:numPr>
                <w:ilvl w:val="0"/>
                <w:numId w:val="14"/>
              </w:numPr>
              <w:rPr>
                <w:rStyle w:val="eop"/>
                <w:rFonts w:asciiTheme="minorHAnsi" w:hAnsiTheme="minorHAnsi" w:cstheme="minorHAnsi"/>
              </w:rPr>
            </w:pPr>
            <w:r w:rsidRPr="002D3014">
              <w:rPr>
                <w:rStyle w:val="normaltextrun"/>
                <w:rFonts w:asciiTheme="minorHAnsi" w:hAnsiTheme="minorHAnsi" w:cstheme="minorHAnsi"/>
              </w:rPr>
              <w:t>If the provider did not use their data to summarize findings and make recommendations which may include remediation and planned/implemented steps taken to mitigate the potential for future incidents</w:t>
            </w:r>
            <w:r w:rsidR="0067284E">
              <w:rPr>
                <w:rStyle w:val="normaltextrun"/>
                <w:rFonts w:asciiTheme="minorHAnsi" w:hAnsiTheme="minorHAnsi" w:cstheme="minorHAnsi"/>
              </w:rPr>
              <w:t>.</w:t>
            </w:r>
          </w:p>
          <w:p w:rsidRPr="002D3014" w:rsidR="00DE2465" w:rsidP="002D3014" w:rsidRDefault="00DE2465" w14:paraId="049931C8" w14:textId="151A7580">
            <w:pPr>
              <w:pStyle w:val="ListParagraph"/>
              <w:numPr>
                <w:ilvl w:val="0"/>
                <w:numId w:val="14"/>
              </w:numPr>
              <w:rPr>
                <w:rFonts w:asciiTheme="minorHAnsi" w:hAnsiTheme="minorHAnsi" w:cstheme="minorHAnsi"/>
                <w:b/>
                <w:bCs/>
              </w:rPr>
            </w:pPr>
            <w:r w:rsidRPr="002D3014">
              <w:rPr>
                <w:rStyle w:val="normaltextrun"/>
                <w:rFonts w:asciiTheme="minorHAnsi" w:hAnsiTheme="minorHAnsi" w:cstheme="minorHAnsi"/>
                <w:b/>
                <w:bCs/>
                <w:color w:val="000000"/>
              </w:rPr>
              <w:t>If the LS determines the provider did not meet any of the requirements</w:t>
            </w:r>
            <w:r w:rsidRPr="002D3014" w:rsidR="0001485B">
              <w:rPr>
                <w:rStyle w:val="normaltextrun"/>
                <w:rFonts w:asciiTheme="minorHAnsi" w:hAnsiTheme="minorHAnsi" w:cstheme="minorHAnsi"/>
                <w:b/>
                <w:bCs/>
                <w:color w:val="000000"/>
              </w:rPr>
              <w:t xml:space="preserve"> listed </w:t>
            </w:r>
            <w:r w:rsidRPr="002D3014" w:rsidR="0001485B">
              <w:rPr>
                <w:rStyle w:val="normaltextrun"/>
                <w:rFonts w:asciiTheme="minorHAnsi" w:hAnsiTheme="minorHAnsi" w:cstheme="minorHAnsi"/>
                <w:b/>
                <w:bCs/>
                <w:color w:val="000000"/>
              </w:rPr>
              <w:lastRenderedPageBreak/>
              <w:t>above</w:t>
            </w:r>
            <w:r w:rsidRPr="002D3014">
              <w:rPr>
                <w:rStyle w:val="normaltextrun"/>
                <w:rFonts w:asciiTheme="minorHAnsi" w:hAnsiTheme="minorHAnsi" w:cstheme="minorHAnsi"/>
                <w:b/>
                <w:bCs/>
                <w:color w:val="000000"/>
              </w:rPr>
              <w:t xml:space="preserve"> and are </w:t>
            </w:r>
            <w:r w:rsidRPr="002D3014">
              <w:rPr>
                <w:rStyle w:val="normaltextrun"/>
                <w:rFonts w:asciiTheme="minorHAnsi" w:hAnsiTheme="minorHAnsi" w:cstheme="minorHAnsi"/>
                <w:b/>
                <w:bCs/>
              </w:rPr>
              <w:t>“</w:t>
            </w:r>
            <w:proofErr w:type="gramStart"/>
            <w:r w:rsidRPr="002D3014">
              <w:rPr>
                <w:rStyle w:val="normaltextrun"/>
                <w:rFonts w:asciiTheme="minorHAnsi" w:hAnsiTheme="minorHAnsi" w:cstheme="minorHAnsi"/>
                <w:b/>
                <w:bCs/>
              </w:rPr>
              <w:t>Non-Compliant</w:t>
            </w:r>
            <w:proofErr w:type="gramEnd"/>
            <w:r w:rsidRPr="002D3014">
              <w:rPr>
                <w:rStyle w:val="contextualspellingandgrammarerror"/>
                <w:rFonts w:asciiTheme="minorHAnsi" w:hAnsiTheme="minorHAnsi" w:cstheme="minorHAnsi"/>
                <w:b/>
                <w:bCs/>
                <w:color w:val="000000"/>
              </w:rPr>
              <w:t>”</w:t>
            </w:r>
            <w:r w:rsidRPr="002D3014">
              <w:rPr>
                <w:rStyle w:val="normaltextrun"/>
                <w:rFonts w:asciiTheme="minorHAnsi" w:hAnsiTheme="minorHAnsi" w:cstheme="minorHAnsi"/>
                <w:b/>
                <w:bCs/>
                <w:color w:val="000000"/>
              </w:rPr>
              <w:t xml:space="preserve"> then the LS </w:t>
            </w:r>
            <w:r w:rsidRPr="002D3014">
              <w:rPr>
                <w:rStyle w:val="normaltextrun"/>
                <w:rFonts w:asciiTheme="minorHAnsi" w:hAnsiTheme="minorHAnsi" w:cstheme="minorHAnsi"/>
                <w:b/>
                <w:bCs/>
              </w:rPr>
              <w:t>must clearly document in the citation the specific reason for noncompliance addressing each area as indicated above.</w:t>
            </w:r>
          </w:p>
        </w:tc>
      </w:tr>
      <w:tr w:rsidRPr="002D3014" w:rsidR="00F949A4" w:rsidTr="54304272" w14:paraId="63B28DF6" w14:textId="77777777">
        <w:trPr>
          <w:trHeight w:val="540"/>
        </w:trPr>
        <w:tc>
          <w:tcPr>
            <w:tcW w:w="1147" w:type="dxa"/>
            <w:shd w:val="clear" w:color="auto" w:fill="E7E6E6"/>
            <w:tcMar/>
          </w:tcPr>
          <w:p w:rsidRPr="00203C99" w:rsidR="00F949A4" w:rsidP="00203C99" w:rsidRDefault="00F949A4" w14:paraId="32E4C130" w14:textId="0B9DAA03">
            <w:pPr>
              <w:jc w:val="center"/>
              <w:rPr>
                <w:rFonts w:asciiTheme="minorHAnsi" w:hAnsiTheme="minorHAnsi" w:cstheme="minorHAnsi"/>
                <w:b/>
                <w:bCs/>
              </w:rPr>
            </w:pPr>
            <w:r w:rsidRPr="00203C99">
              <w:rPr>
                <w:rFonts w:asciiTheme="minorHAnsi" w:hAnsiTheme="minorHAnsi" w:cstheme="minorHAnsi"/>
                <w:b/>
                <w:bCs/>
              </w:rPr>
              <w:lastRenderedPageBreak/>
              <w:t>520.D</w:t>
            </w:r>
          </w:p>
        </w:tc>
        <w:tc>
          <w:tcPr>
            <w:tcW w:w="2700" w:type="dxa"/>
            <w:shd w:val="clear" w:color="auto" w:fill="FFFFFF" w:themeFill="background1"/>
            <w:tcMar/>
          </w:tcPr>
          <w:p w:rsidRPr="002D2CC5" w:rsidR="00F949A4" w:rsidP="002D2CC5" w:rsidRDefault="00F949A4" w14:paraId="0CD41CD1" w14:textId="56E2615A">
            <w:pPr>
              <w:rPr>
                <w:rFonts w:asciiTheme="minorHAnsi" w:hAnsiTheme="minorHAnsi" w:cstheme="minorHAnsi"/>
              </w:rPr>
            </w:pPr>
            <w:r w:rsidRPr="002D2CC5">
              <w:rPr>
                <w:rFonts w:asciiTheme="minorHAnsi" w:hAnsiTheme="minorHAnsi" w:eastAsiaTheme="minorHAnsi" w:cstheme="minorHAnsi"/>
              </w:rPr>
              <w:t>The systemic risk assessment process shall incorporate uniform risk triggers and thresholds as defined by the department.</w:t>
            </w:r>
          </w:p>
        </w:tc>
        <w:tc>
          <w:tcPr>
            <w:tcW w:w="3510" w:type="dxa"/>
            <w:shd w:val="clear" w:color="auto" w:fill="FFFFFF" w:themeFill="background1"/>
            <w:tcMar/>
          </w:tcPr>
          <w:p w:rsidRPr="002D3014" w:rsidR="002D2CC5" w:rsidP="002D2CC5" w:rsidRDefault="002D2CC5" w14:paraId="312529C2" w14:textId="77777777">
            <w:pPr>
              <w:pStyle w:val="ListParagraph"/>
              <w:numPr>
                <w:ilvl w:val="0"/>
                <w:numId w:val="14"/>
              </w:numPr>
              <w:rPr>
                <w:rFonts w:asciiTheme="minorHAnsi" w:hAnsiTheme="minorHAnsi" w:cstheme="minorHAnsi"/>
                <w:color w:val="000000" w:themeColor="text1"/>
              </w:rPr>
            </w:pPr>
            <w:r w:rsidRPr="002D3014">
              <w:rPr>
                <w:rFonts w:asciiTheme="minorHAnsi" w:hAnsiTheme="minorHAnsi" w:cstheme="minorHAnsi"/>
                <w:color w:val="000000" w:themeColor="text1"/>
              </w:rPr>
              <w:t>Can the provider demonstrate that care concerns were reviewed? Their process should outline what would occur if a threshold was met.</w:t>
            </w:r>
          </w:p>
          <w:p w:rsidRPr="002D3014" w:rsidR="002D2CC5" w:rsidP="002D2CC5" w:rsidRDefault="002D2CC5" w14:paraId="79BFB764" w14:textId="77777777">
            <w:pPr>
              <w:pStyle w:val="ListParagraph"/>
              <w:numPr>
                <w:ilvl w:val="0"/>
                <w:numId w:val="14"/>
              </w:numPr>
              <w:rPr>
                <w:rFonts w:asciiTheme="minorHAnsi" w:hAnsiTheme="minorHAnsi" w:cstheme="minorHAnsi"/>
                <w:color w:val="000000" w:themeColor="text1"/>
              </w:rPr>
            </w:pPr>
            <w:r w:rsidRPr="002D3014">
              <w:rPr>
                <w:rFonts w:asciiTheme="minorHAnsi" w:hAnsiTheme="minorHAnsi" w:cstheme="minorHAnsi"/>
                <w:color w:val="000000" w:themeColor="text1"/>
              </w:rPr>
              <w:t xml:space="preserve">How did they document if there was a need or no need for further action? </w:t>
            </w:r>
          </w:p>
          <w:p w:rsidRPr="002D3014" w:rsidR="002D2CC5" w:rsidP="002D2CC5" w:rsidRDefault="002D2CC5" w14:paraId="4AEB65D9" w14:textId="77777777">
            <w:pPr>
              <w:pStyle w:val="ListParagraph"/>
              <w:numPr>
                <w:ilvl w:val="0"/>
                <w:numId w:val="14"/>
              </w:numPr>
              <w:rPr>
                <w:rFonts w:asciiTheme="minorHAnsi" w:hAnsiTheme="minorHAnsi" w:cstheme="minorHAnsi"/>
                <w:color w:val="000000" w:themeColor="text1"/>
              </w:rPr>
            </w:pPr>
            <w:r w:rsidRPr="002D3014">
              <w:rPr>
                <w:rFonts w:asciiTheme="minorHAnsi" w:hAnsiTheme="minorHAnsi" w:cstheme="minorHAnsi"/>
                <w:color w:val="000000" w:themeColor="text1"/>
              </w:rPr>
              <w:t xml:space="preserve">If the provider determined further action was needed, did it occur?  </w:t>
            </w:r>
          </w:p>
          <w:p w:rsidRPr="007C0E95" w:rsidR="0001485B" w:rsidP="002D3014" w:rsidRDefault="002D2CC5" w14:paraId="7CAF0348" w14:textId="2C999E5C">
            <w:pPr>
              <w:pStyle w:val="ListParagraph"/>
              <w:numPr>
                <w:ilvl w:val="0"/>
                <w:numId w:val="14"/>
              </w:numPr>
              <w:rPr>
                <w:rFonts w:asciiTheme="minorHAnsi" w:hAnsiTheme="minorHAnsi" w:cstheme="minorHAnsi"/>
                <w:color w:val="000000" w:themeColor="text1"/>
              </w:rPr>
            </w:pPr>
            <w:r w:rsidRPr="002D3014">
              <w:rPr>
                <w:rFonts w:asciiTheme="minorHAnsi" w:hAnsiTheme="minorHAnsi" w:cstheme="minorHAnsi"/>
                <w:color w:val="000000" w:themeColor="text1"/>
              </w:rPr>
              <w:t>How are they monitoring to see if their action mitigated further risks?</w:t>
            </w:r>
          </w:p>
          <w:p w:rsidRPr="007C0E95" w:rsidR="0001485B" w:rsidP="002D3014" w:rsidRDefault="002D2CC5" w14:paraId="762FDA17" w14:textId="10AC6C3B">
            <w:pPr>
              <w:pStyle w:val="ListParagraph"/>
              <w:numPr>
                <w:ilvl w:val="0"/>
                <w:numId w:val="14"/>
              </w:numPr>
              <w:rPr>
                <w:rFonts w:eastAsia="Times New Roman" w:asciiTheme="minorHAnsi" w:hAnsiTheme="minorHAnsi" w:cstheme="minorHAnsi"/>
                <w:color w:val="000000" w:themeColor="text1"/>
              </w:rPr>
            </w:pPr>
            <w:r>
              <w:rPr>
                <w:rFonts w:eastAsia="Times New Roman" w:asciiTheme="minorHAnsi" w:hAnsiTheme="minorHAnsi" w:cstheme="minorHAnsi"/>
                <w:color w:val="000000" w:themeColor="text1"/>
              </w:rPr>
              <w:t>If the</w:t>
            </w:r>
            <w:r w:rsidRPr="002D3014" w:rsidR="0001485B">
              <w:rPr>
                <w:rFonts w:eastAsia="Times New Roman" w:asciiTheme="minorHAnsi" w:hAnsiTheme="minorHAnsi" w:cstheme="minorHAnsi"/>
                <w:color w:val="000000" w:themeColor="text1"/>
              </w:rPr>
              <w:t xml:space="preserve"> provider has not had any care concerns, </w:t>
            </w:r>
            <w:r>
              <w:rPr>
                <w:rFonts w:eastAsia="Times New Roman" w:asciiTheme="minorHAnsi" w:hAnsiTheme="minorHAnsi" w:cstheme="minorHAnsi"/>
                <w:color w:val="000000" w:themeColor="text1"/>
              </w:rPr>
              <w:t>does their</w:t>
            </w:r>
            <w:r w:rsidRPr="002D3014" w:rsidR="0001485B">
              <w:rPr>
                <w:rFonts w:eastAsia="Times New Roman" w:asciiTheme="minorHAnsi" w:hAnsiTheme="minorHAnsi" w:cstheme="minorHAnsi"/>
                <w:color w:val="000000" w:themeColor="text1"/>
              </w:rPr>
              <w:t xml:space="preserve"> systemic risk assessment review process would still need to outline how they would address care concerns if they were to occur</w:t>
            </w:r>
            <w:r>
              <w:rPr>
                <w:rFonts w:eastAsia="Times New Roman" w:asciiTheme="minorHAnsi" w:hAnsiTheme="minorHAnsi" w:cstheme="minorHAnsi"/>
                <w:color w:val="000000" w:themeColor="text1"/>
              </w:rPr>
              <w:t>?</w:t>
            </w:r>
          </w:p>
          <w:p w:rsidRPr="002D3014" w:rsidR="0001485B" w:rsidP="002D3014" w:rsidRDefault="007C0E95" w14:paraId="50896AB8" w14:textId="1EDB871E">
            <w:pPr>
              <w:pStyle w:val="ListParagraph"/>
              <w:numPr>
                <w:ilvl w:val="0"/>
                <w:numId w:val="14"/>
              </w:numPr>
              <w:rPr>
                <w:rFonts w:eastAsia="Times New Roman" w:asciiTheme="minorHAnsi" w:hAnsiTheme="minorHAnsi" w:cstheme="minorHAnsi"/>
                <w:color w:val="000000" w:themeColor="text1"/>
              </w:rPr>
            </w:pPr>
            <w:r>
              <w:rPr>
                <w:rFonts w:eastAsia="Times New Roman" w:asciiTheme="minorHAnsi" w:hAnsiTheme="minorHAnsi" w:cstheme="minorHAnsi"/>
                <w:color w:val="000000" w:themeColor="text1"/>
              </w:rPr>
              <w:t xml:space="preserve">Did the provider utilize CHRIS </w:t>
            </w:r>
            <w:r w:rsidRPr="002D3014" w:rsidR="0001485B">
              <w:rPr>
                <w:rFonts w:eastAsia="Times New Roman" w:asciiTheme="minorHAnsi" w:hAnsiTheme="minorHAnsi" w:cstheme="minorHAnsi"/>
                <w:color w:val="000000" w:themeColor="text1"/>
              </w:rPr>
              <w:t>to generate reports on incidents that have been identified as Care Concern Thresholds</w:t>
            </w:r>
            <w:r>
              <w:rPr>
                <w:rFonts w:eastAsia="Times New Roman" w:asciiTheme="minorHAnsi" w:hAnsiTheme="minorHAnsi" w:cstheme="minorHAnsi"/>
                <w:color w:val="000000" w:themeColor="text1"/>
              </w:rPr>
              <w:t>?</w:t>
            </w:r>
          </w:p>
          <w:p w:rsidRPr="002D3014" w:rsidR="0001485B" w:rsidP="002D3014" w:rsidRDefault="0001485B" w14:paraId="279CE77D" w14:textId="77777777">
            <w:pPr>
              <w:rPr>
                <w:rFonts w:eastAsia="Times New Roman" w:asciiTheme="minorHAnsi" w:hAnsiTheme="minorHAnsi" w:cstheme="minorHAnsi"/>
                <w:color w:val="000000" w:themeColor="text1"/>
              </w:rPr>
            </w:pPr>
          </w:p>
          <w:p w:rsidRPr="002D3014" w:rsidR="0001485B" w:rsidP="002D3014" w:rsidRDefault="0001485B" w14:paraId="510DE72B" w14:textId="77777777">
            <w:pPr>
              <w:rPr>
                <w:rFonts w:eastAsia="Times New Roman" w:asciiTheme="minorHAnsi" w:hAnsiTheme="minorHAnsi" w:cstheme="minorHAnsi"/>
                <w:color w:val="000000" w:themeColor="text1"/>
              </w:rPr>
            </w:pPr>
          </w:p>
          <w:p w:rsidRPr="002D3014" w:rsidR="00F949A4" w:rsidP="002D3014" w:rsidRDefault="00F949A4" w14:paraId="40623141" w14:textId="77777777">
            <w:pPr>
              <w:rPr>
                <w:rFonts w:asciiTheme="minorHAnsi" w:hAnsiTheme="minorHAnsi" w:cstheme="minorHAnsi"/>
              </w:rPr>
            </w:pPr>
          </w:p>
        </w:tc>
        <w:tc>
          <w:tcPr>
            <w:tcW w:w="3456" w:type="dxa"/>
            <w:shd w:val="clear" w:color="auto" w:fill="FFFFFF" w:themeFill="background1"/>
            <w:tcMar/>
          </w:tcPr>
          <w:p w:rsidRPr="007C0E95" w:rsidR="007C0E95" w:rsidP="007C0E95" w:rsidRDefault="007C0E95" w14:paraId="7D3921AE" w14:textId="7C625F77">
            <w:pPr>
              <w:pStyle w:val="ListParagraph"/>
              <w:numPr>
                <w:ilvl w:val="0"/>
                <w:numId w:val="14"/>
              </w:numPr>
              <w:rPr>
                <w:rFonts w:eastAsia="Times New Roman" w:asciiTheme="minorHAnsi" w:hAnsiTheme="minorHAnsi" w:cstheme="minorHAnsi"/>
                <w:color w:val="000000" w:themeColor="text1"/>
              </w:rPr>
            </w:pPr>
            <w:r w:rsidRPr="00203C99">
              <w:rPr>
                <w:rFonts w:asciiTheme="minorHAnsi" w:hAnsiTheme="minorHAnsi" w:cstheme="minorHAnsi"/>
                <w:color w:val="000000" w:themeColor="text1"/>
              </w:rPr>
              <w:t xml:space="preserve">The LS can use CONNECT to determine if the DD service met the care concern threshold.  The LS </w:t>
            </w:r>
            <w:r w:rsidR="00203C99">
              <w:rPr>
                <w:rFonts w:asciiTheme="minorHAnsi" w:hAnsiTheme="minorHAnsi" w:cstheme="minorHAnsi"/>
                <w:color w:val="000000" w:themeColor="text1"/>
              </w:rPr>
              <w:t>must run</w:t>
            </w:r>
            <w:r w:rsidRPr="00203C99">
              <w:rPr>
                <w:rFonts w:asciiTheme="minorHAnsi" w:hAnsiTheme="minorHAnsi" w:cstheme="minorHAnsi"/>
                <w:color w:val="000000" w:themeColor="text1"/>
              </w:rPr>
              <w:t xml:space="preserve"> the </w:t>
            </w:r>
            <w:r w:rsidRPr="00203C99">
              <w:rPr>
                <w:rFonts w:asciiTheme="minorHAnsi" w:hAnsiTheme="minorHAnsi" w:cstheme="minorHAnsi"/>
                <w:bCs/>
                <w:i/>
                <w:iCs/>
                <w:color w:val="000000" w:themeColor="text1"/>
              </w:rPr>
              <w:t>Individual Care Concern by Provider Query</w:t>
            </w:r>
            <w:r w:rsidRPr="00203C99">
              <w:rPr>
                <w:rFonts w:asciiTheme="minorHAnsi" w:hAnsiTheme="minorHAnsi" w:cstheme="minorHAnsi"/>
                <w:bCs/>
                <w:color w:val="000000" w:themeColor="text1"/>
              </w:rPr>
              <w:t>.  The LS should go back to of the 1/1/2023 to the current inspection date</w:t>
            </w:r>
            <w:r w:rsidRPr="007C0E95">
              <w:rPr>
                <w:rFonts w:asciiTheme="minorHAnsi" w:hAnsiTheme="minorHAnsi" w:cstheme="minorHAnsi"/>
                <w:bCs/>
                <w:color w:val="000000" w:themeColor="text1"/>
              </w:rPr>
              <w:t>.</w:t>
            </w:r>
          </w:p>
          <w:p w:rsidRPr="007C0E95" w:rsidR="0001485B" w:rsidP="007C0E95" w:rsidRDefault="007C0E95" w14:paraId="5419C0BB" w14:textId="33684AD5">
            <w:pPr>
              <w:pStyle w:val="ListParagraph"/>
              <w:numPr>
                <w:ilvl w:val="0"/>
                <w:numId w:val="14"/>
              </w:numPr>
              <w:rPr>
                <w:rFonts w:eastAsia="Times New Roman" w:asciiTheme="minorHAnsi" w:hAnsiTheme="minorHAnsi" w:cstheme="minorHAnsi"/>
                <w:color w:val="000000" w:themeColor="text1"/>
              </w:rPr>
            </w:pPr>
            <w:r w:rsidRPr="007C0E95">
              <w:rPr>
                <w:rFonts w:eastAsia="Times New Roman" w:asciiTheme="minorHAnsi" w:hAnsiTheme="minorHAnsi" w:cstheme="minorHAnsi"/>
                <w:color w:val="000000" w:themeColor="text1"/>
              </w:rPr>
              <w:t>If the provider’s systemic risk assessment does not include a review of care concerns</w:t>
            </w:r>
            <w:r w:rsidR="00203C99">
              <w:rPr>
                <w:rFonts w:eastAsia="Times New Roman" w:asciiTheme="minorHAnsi" w:hAnsiTheme="minorHAnsi" w:cstheme="minorHAnsi"/>
                <w:color w:val="000000" w:themeColor="text1"/>
              </w:rPr>
              <w:t>.</w:t>
            </w:r>
          </w:p>
          <w:p w:rsidRPr="007C0E95" w:rsidR="007C0E95" w:rsidP="007C0E95" w:rsidRDefault="007C0E95" w14:paraId="645E188F" w14:textId="60980466">
            <w:pPr>
              <w:pStyle w:val="ListParagraph"/>
              <w:numPr>
                <w:ilvl w:val="0"/>
                <w:numId w:val="14"/>
              </w:numPr>
              <w:rPr>
                <w:rFonts w:eastAsia="Times New Roman" w:asciiTheme="minorHAnsi" w:hAnsiTheme="minorHAnsi" w:cstheme="minorHAnsi"/>
                <w:color w:val="000000" w:themeColor="text1"/>
              </w:rPr>
            </w:pPr>
            <w:r w:rsidRPr="007C0E95">
              <w:rPr>
                <w:rFonts w:eastAsia="Times New Roman" w:asciiTheme="minorHAnsi" w:hAnsiTheme="minorHAnsi" w:cstheme="minorHAnsi"/>
                <w:color w:val="000000" w:themeColor="text1"/>
              </w:rPr>
              <w:t>If the provider did not document if further action was needed or not.</w:t>
            </w:r>
          </w:p>
          <w:p w:rsidRPr="007C0E95" w:rsidR="007C0E95" w:rsidP="007C0E95" w:rsidRDefault="007C0E95" w14:paraId="312430F5" w14:textId="74C10815">
            <w:pPr>
              <w:pStyle w:val="ListParagraph"/>
              <w:numPr>
                <w:ilvl w:val="0"/>
                <w:numId w:val="14"/>
              </w:numPr>
              <w:rPr>
                <w:rFonts w:eastAsia="Times New Roman" w:asciiTheme="minorHAnsi" w:hAnsiTheme="minorHAnsi" w:cstheme="minorHAnsi"/>
                <w:color w:val="000000" w:themeColor="text1"/>
              </w:rPr>
            </w:pPr>
            <w:r w:rsidRPr="007C0E95">
              <w:rPr>
                <w:rFonts w:eastAsia="Times New Roman" w:asciiTheme="minorHAnsi" w:hAnsiTheme="minorHAnsi" w:cstheme="minorHAnsi"/>
                <w:color w:val="000000" w:themeColor="text1"/>
              </w:rPr>
              <w:t xml:space="preserve">If the provider determined further action was needed but </w:t>
            </w:r>
            <w:r>
              <w:rPr>
                <w:rFonts w:eastAsia="Times New Roman" w:asciiTheme="minorHAnsi" w:hAnsiTheme="minorHAnsi" w:cstheme="minorHAnsi"/>
                <w:color w:val="000000" w:themeColor="text1"/>
              </w:rPr>
              <w:t>there is no documentation that</w:t>
            </w:r>
            <w:r w:rsidRPr="007C0E95">
              <w:rPr>
                <w:rFonts w:eastAsia="Times New Roman" w:asciiTheme="minorHAnsi" w:hAnsiTheme="minorHAnsi" w:cstheme="minorHAnsi"/>
                <w:color w:val="000000" w:themeColor="text1"/>
              </w:rPr>
              <w:t xml:space="preserve"> action</w:t>
            </w:r>
            <w:r>
              <w:rPr>
                <w:rFonts w:eastAsia="Times New Roman" w:asciiTheme="minorHAnsi" w:hAnsiTheme="minorHAnsi" w:cstheme="minorHAnsi"/>
                <w:color w:val="000000" w:themeColor="text1"/>
              </w:rPr>
              <w:t xml:space="preserve"> was taken</w:t>
            </w:r>
            <w:r w:rsidRPr="007C0E95">
              <w:rPr>
                <w:rFonts w:eastAsia="Times New Roman" w:asciiTheme="minorHAnsi" w:hAnsiTheme="minorHAnsi" w:cstheme="minorHAnsi"/>
                <w:color w:val="000000" w:themeColor="text1"/>
              </w:rPr>
              <w:t>.</w:t>
            </w:r>
          </w:p>
          <w:p w:rsidRPr="007C0E95" w:rsidR="007C0E95" w:rsidP="007C0E95" w:rsidRDefault="007C0E95" w14:paraId="5061F522" w14:textId="7A67C3D1">
            <w:pPr>
              <w:pStyle w:val="ListParagraph"/>
              <w:numPr>
                <w:ilvl w:val="0"/>
                <w:numId w:val="14"/>
              </w:numPr>
              <w:rPr>
                <w:rFonts w:eastAsia="Times New Roman" w:asciiTheme="minorHAnsi" w:hAnsiTheme="minorHAnsi" w:cstheme="minorHAnsi"/>
                <w:color w:val="000000" w:themeColor="text1"/>
              </w:rPr>
            </w:pPr>
            <w:r w:rsidRPr="007C0E95">
              <w:rPr>
                <w:rFonts w:eastAsia="Times New Roman" w:asciiTheme="minorHAnsi" w:hAnsiTheme="minorHAnsi" w:cstheme="minorHAnsi"/>
                <w:color w:val="000000" w:themeColor="text1"/>
              </w:rPr>
              <w:t>If they are not monitoring their actions</w:t>
            </w:r>
            <w:r>
              <w:rPr>
                <w:rFonts w:eastAsia="Times New Roman" w:asciiTheme="minorHAnsi" w:hAnsiTheme="minorHAnsi" w:cstheme="minorHAnsi"/>
                <w:color w:val="000000" w:themeColor="text1"/>
              </w:rPr>
              <w:t xml:space="preserve"> to mitigate further ris</w:t>
            </w:r>
            <w:r w:rsidR="00203C99">
              <w:rPr>
                <w:rFonts w:eastAsia="Times New Roman" w:asciiTheme="minorHAnsi" w:hAnsiTheme="minorHAnsi" w:cstheme="minorHAnsi"/>
                <w:color w:val="000000" w:themeColor="text1"/>
              </w:rPr>
              <w:t>ks.</w:t>
            </w:r>
          </w:p>
          <w:p w:rsidRPr="007C0E95" w:rsidR="0001485B" w:rsidP="007C0E95" w:rsidRDefault="0001485B" w14:paraId="12084E5A" w14:textId="7AE3F710">
            <w:pPr>
              <w:pStyle w:val="ListParagraph"/>
              <w:numPr>
                <w:ilvl w:val="0"/>
                <w:numId w:val="14"/>
              </w:numPr>
              <w:rPr>
                <w:rFonts w:eastAsia="Times New Roman" w:asciiTheme="minorHAnsi" w:hAnsiTheme="minorHAnsi" w:cstheme="minorHAnsi"/>
                <w:color w:val="000000" w:themeColor="text1"/>
              </w:rPr>
            </w:pPr>
            <w:r w:rsidRPr="007C0E95">
              <w:rPr>
                <w:rFonts w:eastAsia="Times New Roman" w:asciiTheme="minorHAnsi" w:hAnsiTheme="minorHAnsi" w:cstheme="minorHAnsi"/>
                <w:color w:val="000000" w:themeColor="text1"/>
              </w:rPr>
              <w:t xml:space="preserve">If a provider has not had any care concerns, their systemic risk assessment review process would still need to outline how they would address care concerns if they were to occur. If the provider outlines how they would address care concerns if they were to occur, then the provider would be marked Compliant. If it does not, then the provider would be marked </w:t>
            </w:r>
            <w:proofErr w:type="gramStart"/>
            <w:r w:rsidRPr="007C0E95">
              <w:rPr>
                <w:rFonts w:eastAsia="Times New Roman" w:asciiTheme="minorHAnsi" w:hAnsiTheme="minorHAnsi" w:cstheme="minorHAnsi"/>
                <w:color w:val="000000" w:themeColor="text1"/>
              </w:rPr>
              <w:t>Non-Compliant</w:t>
            </w:r>
            <w:proofErr w:type="gramEnd"/>
            <w:r w:rsidRPr="007C0E95">
              <w:rPr>
                <w:rFonts w:eastAsia="Times New Roman" w:asciiTheme="minorHAnsi" w:hAnsiTheme="minorHAnsi" w:cstheme="minorHAnsi"/>
                <w:color w:val="000000" w:themeColor="text1"/>
              </w:rPr>
              <w:t xml:space="preserve">. </w:t>
            </w:r>
          </w:p>
        </w:tc>
      </w:tr>
    </w:tbl>
    <w:p w:rsidR="0067284E" w:rsidP="002D3014" w:rsidRDefault="0067284E" w14:paraId="174B175F" w14:textId="77777777">
      <w:pPr>
        <w:rPr>
          <w:rFonts w:eastAsia="Times New Roman" w:asciiTheme="minorHAnsi" w:hAnsiTheme="minorHAnsi" w:cstheme="minorHAnsi"/>
          <w:b/>
          <w:bCs/>
        </w:rPr>
      </w:pPr>
    </w:p>
    <w:p w:rsidRPr="007C0E95" w:rsidR="002D3014" w:rsidP="002D3014" w:rsidRDefault="002D3014" w14:paraId="443D82B3" w14:textId="331A696C">
      <w:pPr>
        <w:rPr>
          <w:rFonts w:eastAsia="Times New Roman" w:asciiTheme="minorHAnsi" w:hAnsiTheme="minorHAnsi" w:cstheme="minorHAnsi"/>
          <w:b/>
          <w:bCs/>
        </w:rPr>
      </w:pPr>
      <w:r w:rsidRPr="007C0E95">
        <w:rPr>
          <w:rFonts w:eastAsia="Times New Roman" w:asciiTheme="minorHAnsi" w:hAnsiTheme="minorHAnsi" w:cstheme="minorHAnsi"/>
          <w:b/>
          <w:bCs/>
        </w:rPr>
        <w:t xml:space="preserve">Regarding 520.B-E, if the provider is </w:t>
      </w:r>
      <w:proofErr w:type="gramStart"/>
      <w:r w:rsidRPr="007C0E95">
        <w:rPr>
          <w:rFonts w:eastAsia="Times New Roman" w:asciiTheme="minorHAnsi" w:hAnsiTheme="minorHAnsi" w:cstheme="minorHAnsi"/>
          <w:b/>
          <w:bCs/>
        </w:rPr>
        <w:t>Non-Compliant</w:t>
      </w:r>
      <w:proofErr w:type="gramEnd"/>
      <w:r w:rsidRPr="007C0E95">
        <w:rPr>
          <w:rFonts w:eastAsia="Times New Roman" w:asciiTheme="minorHAnsi" w:hAnsiTheme="minorHAnsi" w:cstheme="minorHAnsi"/>
          <w:b/>
          <w:bCs/>
        </w:rPr>
        <w:t xml:space="preserve"> with any component of these regulations, then one of the following statements shall be included:</w:t>
      </w:r>
    </w:p>
    <w:p w:rsidRPr="007C0E95" w:rsidR="002D3014" w:rsidP="002D3014" w:rsidRDefault="002D3014" w14:paraId="412E856F" w14:textId="77777777">
      <w:pPr>
        <w:rPr>
          <w:rFonts w:eastAsia="Times New Roman" w:asciiTheme="minorHAnsi" w:hAnsiTheme="minorHAnsi" w:cstheme="minorHAnsi"/>
          <w:b/>
          <w:bCs/>
          <w:color w:val="4F81BD" w:themeColor="accent1"/>
        </w:rPr>
      </w:pPr>
    </w:p>
    <w:p w:rsidRPr="007C0E95" w:rsidR="002D3014" w:rsidP="002D3014" w:rsidRDefault="002D3014" w14:paraId="06CBE406" w14:textId="77777777">
      <w:pPr>
        <w:spacing w:after="160" w:line="259" w:lineRule="auto"/>
        <w:rPr>
          <w:rFonts w:eastAsia="Times New Roman" w:asciiTheme="minorHAnsi" w:hAnsiTheme="minorHAnsi" w:cstheme="minorHAnsi"/>
          <w:color w:val="4F81BD" w:themeColor="accent1"/>
        </w:rPr>
      </w:pPr>
      <w:r w:rsidRPr="007C0E95">
        <w:rPr>
          <w:rFonts w:eastAsia="Times New Roman" w:asciiTheme="minorHAnsi" w:hAnsiTheme="minorHAnsi" w:cstheme="minorHAnsi"/>
        </w:rPr>
        <w:t xml:space="preserve">If the provider </w:t>
      </w:r>
      <w:r w:rsidRPr="007C0E95">
        <w:rPr>
          <w:rFonts w:eastAsia="Times New Roman" w:asciiTheme="minorHAnsi" w:hAnsiTheme="minorHAnsi" w:cstheme="minorHAnsi"/>
          <w:b/>
          <w:bCs/>
          <w:u w:val="single"/>
        </w:rPr>
        <w:t>HAS completed the required risk management training</w:t>
      </w:r>
      <w:r w:rsidRPr="007C0E95">
        <w:rPr>
          <w:rFonts w:eastAsia="Times New Roman" w:asciiTheme="minorHAnsi" w:hAnsiTheme="minorHAnsi" w:cstheme="minorHAnsi"/>
        </w:rPr>
        <w:t>, the recommendation will include the following language:</w:t>
      </w:r>
    </w:p>
    <w:p w:rsidRPr="007C0E95" w:rsidR="002D3014" w:rsidP="002D3014" w:rsidRDefault="002D3014" w14:paraId="56F7693C" w14:textId="77777777">
      <w:pPr>
        <w:spacing w:beforeAutospacing="1" w:after="160" w:line="259" w:lineRule="auto"/>
        <w:ind w:right="-288"/>
        <w:rPr>
          <w:rFonts w:eastAsia="Times New Roman" w:asciiTheme="minorHAnsi" w:hAnsiTheme="minorHAnsi" w:cstheme="minorHAnsi"/>
          <w:color w:val="4F81BD" w:themeColor="accent1"/>
        </w:rPr>
      </w:pPr>
      <w:r w:rsidRPr="007C0E95">
        <w:rPr>
          <w:rFonts w:eastAsia="Times New Roman" w:asciiTheme="minorHAnsi" w:hAnsiTheme="minorHAnsi" w:cstheme="minorHAnsi"/>
          <w:i/>
          <w:iCs/>
        </w:rPr>
        <w:t xml:space="preserve">The licensing specialist recommends the provider review regulation 12VAC35-105-520 as well as the Guidance for Risk Management (August 2020). Based on the provider’s Attestation of Risk Management Training, the provider will not be </w:t>
      </w:r>
      <w:r w:rsidRPr="007C0E95">
        <w:rPr>
          <w:rFonts w:eastAsia="Times New Roman" w:asciiTheme="minorHAnsi" w:hAnsiTheme="minorHAnsi" w:cstheme="minorHAnsi"/>
          <w:i/>
          <w:iCs/>
        </w:rPr>
        <w:lastRenderedPageBreak/>
        <w:t xml:space="preserve">required to take the training again. </w:t>
      </w:r>
    </w:p>
    <w:p w:rsidRPr="007C0E95" w:rsidR="002D3014" w:rsidP="002D3014" w:rsidRDefault="002D3014" w14:paraId="6C8CFF55" w14:textId="77777777">
      <w:pPr>
        <w:spacing w:after="160" w:line="257" w:lineRule="auto"/>
        <w:rPr>
          <w:rFonts w:eastAsia="Times New Roman" w:asciiTheme="minorHAnsi" w:hAnsiTheme="minorHAnsi" w:cstheme="minorHAnsi"/>
          <w:color w:val="4F81BD" w:themeColor="accent1"/>
        </w:rPr>
      </w:pPr>
      <w:r w:rsidRPr="007C0E95">
        <w:rPr>
          <w:rFonts w:eastAsia="Times New Roman" w:asciiTheme="minorHAnsi" w:hAnsiTheme="minorHAnsi" w:cstheme="minorHAnsi"/>
          <w:b/>
          <w:bCs/>
        </w:rPr>
        <w:t>OR</w:t>
      </w:r>
    </w:p>
    <w:p w:rsidRPr="007C0E95" w:rsidR="002D3014" w:rsidP="002D3014" w:rsidRDefault="002D3014" w14:paraId="782C463A" w14:textId="77777777">
      <w:pPr>
        <w:spacing w:after="160" w:line="257" w:lineRule="auto"/>
        <w:rPr>
          <w:rFonts w:eastAsia="Times New Roman" w:asciiTheme="minorHAnsi" w:hAnsiTheme="minorHAnsi" w:cstheme="minorHAnsi"/>
          <w:color w:val="4F81BD" w:themeColor="accent1"/>
        </w:rPr>
      </w:pPr>
      <w:r w:rsidRPr="007C0E95">
        <w:rPr>
          <w:rFonts w:eastAsia="Times New Roman" w:asciiTheme="minorHAnsi" w:hAnsiTheme="minorHAnsi" w:cstheme="minorHAnsi"/>
        </w:rPr>
        <w:t xml:space="preserve">If the provider </w:t>
      </w:r>
      <w:r w:rsidRPr="007C0E95">
        <w:rPr>
          <w:rFonts w:eastAsia="Times New Roman" w:asciiTheme="minorHAnsi" w:hAnsiTheme="minorHAnsi" w:cstheme="minorHAnsi"/>
          <w:b/>
          <w:bCs/>
          <w:u w:val="single"/>
        </w:rPr>
        <w:t>HAS NOT completed the required risk management training</w:t>
      </w:r>
      <w:r w:rsidRPr="007C0E95">
        <w:rPr>
          <w:rFonts w:eastAsia="Times New Roman" w:asciiTheme="minorHAnsi" w:hAnsiTheme="minorHAnsi" w:cstheme="minorHAnsi"/>
        </w:rPr>
        <w:t>, the citation will include the following language:</w:t>
      </w:r>
    </w:p>
    <w:p w:rsidRPr="007C0E95" w:rsidR="002D3014" w:rsidP="002D3014" w:rsidRDefault="002D3014" w14:paraId="558F2411" w14:textId="77777777">
      <w:pPr>
        <w:rPr>
          <w:rFonts w:eastAsia="Times New Roman" w:asciiTheme="minorHAnsi" w:hAnsiTheme="minorHAnsi" w:cstheme="minorHAnsi"/>
          <w:color w:val="4F81BD" w:themeColor="accent1"/>
        </w:rPr>
      </w:pPr>
      <w:r w:rsidRPr="007C0E95">
        <w:rPr>
          <w:rFonts w:eastAsia="Times New Roman" w:asciiTheme="minorHAnsi" w:hAnsiTheme="minorHAnsi" w:cstheme="minorHAnsi"/>
          <w:i/>
          <w:iCs/>
        </w:rPr>
        <w:t>The licensing specialist recommends the provider review regulation 12VAC35-105-520 as well as the Guidance for Risk Management (August 2020). As part of the provider’s Corrective Action Plan (CAP): 1. The provider’s designated person responsible for risk management shall complete the required risk management training (see Crosswalk of DBHDS Approved Risk Management Training and Risk Management Attestation); 2. The provider will need to submit the completed DBHDS Risk Management (RM) Attestation with the CAP as evidence of compliance; and 3. The CAP must include a detailed description/specific steps indicating how the provider is using the training in order to address this specific area of non-compliance</w:t>
      </w:r>
      <w:r w:rsidRPr="007C0E95">
        <w:rPr>
          <w:rFonts w:eastAsia="Times New Roman" w:asciiTheme="minorHAnsi" w:hAnsiTheme="minorHAnsi" w:cstheme="minorHAnsi"/>
          <w:color w:val="4F81BD" w:themeColor="accent1"/>
        </w:rPr>
        <w:t>.</w:t>
      </w:r>
    </w:p>
    <w:p w:rsidRPr="007C0E95" w:rsidR="002D3014" w:rsidP="002D3014" w:rsidRDefault="002D3014" w14:paraId="674459FF" w14:textId="77777777">
      <w:pPr>
        <w:rPr>
          <w:rFonts w:asciiTheme="minorHAnsi" w:hAnsiTheme="minorHAnsi" w:cstheme="minorHAnsi"/>
          <w:sz w:val="20"/>
          <w:szCs w:val="20"/>
        </w:rPr>
      </w:pPr>
    </w:p>
    <w:sectPr w:rsidRPr="007C0E95" w:rsidR="002D3014">
      <w:type w:val="continuous"/>
      <w:pgSz w:w="12240" w:h="15840" w:orient="portrait"/>
      <w:pgMar w:top="14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382"/>
    <w:multiLevelType w:val="hybridMultilevel"/>
    <w:tmpl w:val="28FCD7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726D28"/>
    <w:multiLevelType w:val="hybridMultilevel"/>
    <w:tmpl w:val="EC064A42"/>
    <w:lvl w:ilvl="0" w:tplc="1C262E74">
      <w:numFmt w:val="bullet"/>
      <w:lvlText w:val=""/>
      <w:lvlJc w:val="left"/>
      <w:pPr>
        <w:ind w:left="728" w:hanging="361"/>
      </w:pPr>
      <w:rPr>
        <w:rFonts w:hint="default" w:ascii="Symbol" w:hAnsi="Symbol" w:eastAsia="Symbol" w:cs="Symbol"/>
        <w:b w:val="0"/>
        <w:bCs w:val="0"/>
        <w:i w:val="0"/>
        <w:iCs w:val="0"/>
        <w:w w:val="102"/>
        <w:sz w:val="22"/>
        <w:szCs w:val="22"/>
        <w:lang w:val="en-US" w:eastAsia="en-US" w:bidi="ar-SA"/>
      </w:rPr>
    </w:lvl>
    <w:lvl w:ilvl="1" w:tplc="65A04366">
      <w:numFmt w:val="bullet"/>
      <w:lvlText w:val="•"/>
      <w:lvlJc w:val="left"/>
      <w:pPr>
        <w:ind w:left="1727" w:hanging="361"/>
      </w:pPr>
      <w:rPr>
        <w:rFonts w:hint="default"/>
        <w:lang w:val="en-US" w:eastAsia="en-US" w:bidi="ar-SA"/>
      </w:rPr>
    </w:lvl>
    <w:lvl w:ilvl="2" w:tplc="0FBAA26A">
      <w:numFmt w:val="bullet"/>
      <w:lvlText w:val="•"/>
      <w:lvlJc w:val="left"/>
      <w:pPr>
        <w:ind w:left="2735" w:hanging="361"/>
      </w:pPr>
      <w:rPr>
        <w:rFonts w:hint="default"/>
        <w:lang w:val="en-US" w:eastAsia="en-US" w:bidi="ar-SA"/>
      </w:rPr>
    </w:lvl>
    <w:lvl w:ilvl="3" w:tplc="4CB0831E">
      <w:numFmt w:val="bullet"/>
      <w:lvlText w:val="•"/>
      <w:lvlJc w:val="left"/>
      <w:pPr>
        <w:ind w:left="3743" w:hanging="361"/>
      </w:pPr>
      <w:rPr>
        <w:rFonts w:hint="default"/>
        <w:lang w:val="en-US" w:eastAsia="en-US" w:bidi="ar-SA"/>
      </w:rPr>
    </w:lvl>
    <w:lvl w:ilvl="4" w:tplc="8A5C7E02">
      <w:numFmt w:val="bullet"/>
      <w:lvlText w:val="•"/>
      <w:lvlJc w:val="left"/>
      <w:pPr>
        <w:ind w:left="4751" w:hanging="361"/>
      </w:pPr>
      <w:rPr>
        <w:rFonts w:hint="default"/>
        <w:lang w:val="en-US" w:eastAsia="en-US" w:bidi="ar-SA"/>
      </w:rPr>
    </w:lvl>
    <w:lvl w:ilvl="5" w:tplc="A01AAA2A">
      <w:numFmt w:val="bullet"/>
      <w:lvlText w:val="•"/>
      <w:lvlJc w:val="left"/>
      <w:pPr>
        <w:ind w:left="5759" w:hanging="361"/>
      </w:pPr>
      <w:rPr>
        <w:rFonts w:hint="default"/>
        <w:lang w:val="en-US" w:eastAsia="en-US" w:bidi="ar-SA"/>
      </w:rPr>
    </w:lvl>
    <w:lvl w:ilvl="6" w:tplc="A59CCD94">
      <w:numFmt w:val="bullet"/>
      <w:lvlText w:val="•"/>
      <w:lvlJc w:val="left"/>
      <w:pPr>
        <w:ind w:left="6766" w:hanging="361"/>
      </w:pPr>
      <w:rPr>
        <w:rFonts w:hint="default"/>
        <w:lang w:val="en-US" w:eastAsia="en-US" w:bidi="ar-SA"/>
      </w:rPr>
    </w:lvl>
    <w:lvl w:ilvl="7" w:tplc="23DC27F8">
      <w:numFmt w:val="bullet"/>
      <w:lvlText w:val="•"/>
      <w:lvlJc w:val="left"/>
      <w:pPr>
        <w:ind w:left="7774" w:hanging="361"/>
      </w:pPr>
      <w:rPr>
        <w:rFonts w:hint="default"/>
        <w:lang w:val="en-US" w:eastAsia="en-US" w:bidi="ar-SA"/>
      </w:rPr>
    </w:lvl>
    <w:lvl w:ilvl="8" w:tplc="C3C29F0A">
      <w:numFmt w:val="bullet"/>
      <w:lvlText w:val="•"/>
      <w:lvlJc w:val="left"/>
      <w:pPr>
        <w:ind w:left="8782" w:hanging="361"/>
      </w:pPr>
      <w:rPr>
        <w:rFonts w:hint="default"/>
        <w:lang w:val="en-US" w:eastAsia="en-US" w:bidi="ar-SA"/>
      </w:rPr>
    </w:lvl>
  </w:abstractNum>
  <w:abstractNum w:abstractNumId="2" w15:restartNumberingAfterBreak="0">
    <w:nsid w:val="11EB2924"/>
    <w:multiLevelType w:val="hybridMultilevel"/>
    <w:tmpl w:val="FC2A9C0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31410D2"/>
    <w:multiLevelType w:val="hybridMultilevel"/>
    <w:tmpl w:val="DFF42EEA"/>
    <w:lvl w:ilvl="0" w:tplc="52CE08D4">
      <w:numFmt w:val="bullet"/>
      <w:lvlText w:val=""/>
      <w:lvlJc w:val="left"/>
      <w:pPr>
        <w:ind w:left="742" w:hanging="360"/>
      </w:pPr>
      <w:rPr>
        <w:rFonts w:hint="default" w:ascii="Symbol" w:hAnsi="Symbol" w:eastAsia="Symbol" w:cs="Symbol"/>
        <w:b w:val="0"/>
        <w:bCs w:val="0"/>
        <w:i w:val="0"/>
        <w:iCs w:val="0"/>
        <w:w w:val="102"/>
        <w:sz w:val="22"/>
        <w:szCs w:val="22"/>
        <w:lang w:val="en-US" w:eastAsia="en-US" w:bidi="ar-SA"/>
      </w:rPr>
    </w:lvl>
    <w:lvl w:ilvl="1" w:tplc="F498F276">
      <w:numFmt w:val="bullet"/>
      <w:lvlText w:val="•"/>
      <w:lvlJc w:val="left"/>
      <w:pPr>
        <w:ind w:left="1054" w:hanging="360"/>
      </w:pPr>
      <w:rPr>
        <w:rFonts w:hint="default"/>
        <w:lang w:val="en-US" w:eastAsia="en-US" w:bidi="ar-SA"/>
      </w:rPr>
    </w:lvl>
    <w:lvl w:ilvl="2" w:tplc="40F6B24C">
      <w:numFmt w:val="bullet"/>
      <w:lvlText w:val="•"/>
      <w:lvlJc w:val="left"/>
      <w:pPr>
        <w:ind w:left="1369" w:hanging="360"/>
      </w:pPr>
      <w:rPr>
        <w:rFonts w:hint="default"/>
        <w:lang w:val="en-US" w:eastAsia="en-US" w:bidi="ar-SA"/>
      </w:rPr>
    </w:lvl>
    <w:lvl w:ilvl="3" w:tplc="8F10CB40">
      <w:numFmt w:val="bullet"/>
      <w:lvlText w:val="•"/>
      <w:lvlJc w:val="left"/>
      <w:pPr>
        <w:ind w:left="1684" w:hanging="360"/>
      </w:pPr>
      <w:rPr>
        <w:rFonts w:hint="default"/>
        <w:lang w:val="en-US" w:eastAsia="en-US" w:bidi="ar-SA"/>
      </w:rPr>
    </w:lvl>
    <w:lvl w:ilvl="4" w:tplc="0B5E7CA2">
      <w:numFmt w:val="bullet"/>
      <w:lvlText w:val="•"/>
      <w:lvlJc w:val="left"/>
      <w:pPr>
        <w:ind w:left="1999" w:hanging="360"/>
      </w:pPr>
      <w:rPr>
        <w:rFonts w:hint="default"/>
        <w:lang w:val="en-US" w:eastAsia="en-US" w:bidi="ar-SA"/>
      </w:rPr>
    </w:lvl>
    <w:lvl w:ilvl="5" w:tplc="BA70DC36">
      <w:numFmt w:val="bullet"/>
      <w:lvlText w:val="•"/>
      <w:lvlJc w:val="left"/>
      <w:pPr>
        <w:ind w:left="2314" w:hanging="360"/>
      </w:pPr>
      <w:rPr>
        <w:rFonts w:hint="default"/>
        <w:lang w:val="en-US" w:eastAsia="en-US" w:bidi="ar-SA"/>
      </w:rPr>
    </w:lvl>
    <w:lvl w:ilvl="6" w:tplc="B372BB48">
      <w:numFmt w:val="bullet"/>
      <w:lvlText w:val="•"/>
      <w:lvlJc w:val="left"/>
      <w:pPr>
        <w:ind w:left="2629" w:hanging="360"/>
      </w:pPr>
      <w:rPr>
        <w:rFonts w:hint="default"/>
        <w:lang w:val="en-US" w:eastAsia="en-US" w:bidi="ar-SA"/>
      </w:rPr>
    </w:lvl>
    <w:lvl w:ilvl="7" w:tplc="5A829196">
      <w:numFmt w:val="bullet"/>
      <w:lvlText w:val="•"/>
      <w:lvlJc w:val="left"/>
      <w:pPr>
        <w:ind w:left="2944" w:hanging="360"/>
      </w:pPr>
      <w:rPr>
        <w:rFonts w:hint="default"/>
        <w:lang w:val="en-US" w:eastAsia="en-US" w:bidi="ar-SA"/>
      </w:rPr>
    </w:lvl>
    <w:lvl w:ilvl="8" w:tplc="95DCC078">
      <w:numFmt w:val="bullet"/>
      <w:lvlText w:val="•"/>
      <w:lvlJc w:val="left"/>
      <w:pPr>
        <w:ind w:left="3259" w:hanging="360"/>
      </w:pPr>
      <w:rPr>
        <w:rFonts w:hint="default"/>
        <w:lang w:val="en-US" w:eastAsia="en-US" w:bidi="ar-SA"/>
      </w:rPr>
    </w:lvl>
  </w:abstractNum>
  <w:abstractNum w:abstractNumId="4" w15:restartNumberingAfterBreak="0">
    <w:nsid w:val="161B343D"/>
    <w:multiLevelType w:val="hybridMultilevel"/>
    <w:tmpl w:val="A3D0F9F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74E4073"/>
    <w:multiLevelType w:val="hybridMultilevel"/>
    <w:tmpl w:val="6F56CFA6"/>
    <w:lvl w:ilvl="0" w:tplc="C12C6164">
      <w:numFmt w:val="bullet"/>
      <w:lvlText w:val=""/>
      <w:lvlJc w:val="left"/>
      <w:pPr>
        <w:ind w:left="728" w:hanging="361"/>
      </w:pPr>
      <w:rPr>
        <w:rFonts w:hint="default" w:ascii="Symbol" w:hAnsi="Symbol" w:eastAsia="Symbol" w:cs="Symbol"/>
        <w:b w:val="0"/>
        <w:bCs w:val="0"/>
        <w:i w:val="0"/>
        <w:iCs w:val="0"/>
        <w:w w:val="102"/>
        <w:sz w:val="22"/>
        <w:szCs w:val="22"/>
        <w:lang w:val="en-US" w:eastAsia="en-US" w:bidi="ar-SA"/>
      </w:rPr>
    </w:lvl>
    <w:lvl w:ilvl="1" w:tplc="AE348026">
      <w:numFmt w:val="bullet"/>
      <w:lvlText w:val="•"/>
      <w:lvlJc w:val="left"/>
      <w:pPr>
        <w:ind w:left="958" w:hanging="361"/>
      </w:pPr>
      <w:rPr>
        <w:rFonts w:hint="default"/>
        <w:lang w:val="en-US" w:eastAsia="en-US" w:bidi="ar-SA"/>
      </w:rPr>
    </w:lvl>
    <w:lvl w:ilvl="2" w:tplc="9F1EE372">
      <w:numFmt w:val="bullet"/>
      <w:lvlText w:val="•"/>
      <w:lvlJc w:val="left"/>
      <w:pPr>
        <w:ind w:left="1197" w:hanging="361"/>
      </w:pPr>
      <w:rPr>
        <w:rFonts w:hint="default"/>
        <w:lang w:val="en-US" w:eastAsia="en-US" w:bidi="ar-SA"/>
      </w:rPr>
    </w:lvl>
    <w:lvl w:ilvl="3" w:tplc="32AAFE66">
      <w:numFmt w:val="bullet"/>
      <w:lvlText w:val="•"/>
      <w:lvlJc w:val="left"/>
      <w:pPr>
        <w:ind w:left="1436" w:hanging="361"/>
      </w:pPr>
      <w:rPr>
        <w:rFonts w:hint="default"/>
        <w:lang w:val="en-US" w:eastAsia="en-US" w:bidi="ar-SA"/>
      </w:rPr>
    </w:lvl>
    <w:lvl w:ilvl="4" w:tplc="4BB00390">
      <w:numFmt w:val="bullet"/>
      <w:lvlText w:val="•"/>
      <w:lvlJc w:val="left"/>
      <w:pPr>
        <w:ind w:left="1675" w:hanging="361"/>
      </w:pPr>
      <w:rPr>
        <w:rFonts w:hint="default"/>
        <w:lang w:val="en-US" w:eastAsia="en-US" w:bidi="ar-SA"/>
      </w:rPr>
    </w:lvl>
    <w:lvl w:ilvl="5" w:tplc="E5708D64">
      <w:numFmt w:val="bullet"/>
      <w:lvlText w:val="•"/>
      <w:lvlJc w:val="left"/>
      <w:pPr>
        <w:ind w:left="1914" w:hanging="361"/>
      </w:pPr>
      <w:rPr>
        <w:rFonts w:hint="default"/>
        <w:lang w:val="en-US" w:eastAsia="en-US" w:bidi="ar-SA"/>
      </w:rPr>
    </w:lvl>
    <w:lvl w:ilvl="6" w:tplc="CAE8B4FC">
      <w:numFmt w:val="bullet"/>
      <w:lvlText w:val="•"/>
      <w:lvlJc w:val="left"/>
      <w:pPr>
        <w:ind w:left="2153" w:hanging="361"/>
      </w:pPr>
      <w:rPr>
        <w:rFonts w:hint="default"/>
        <w:lang w:val="en-US" w:eastAsia="en-US" w:bidi="ar-SA"/>
      </w:rPr>
    </w:lvl>
    <w:lvl w:ilvl="7" w:tplc="BC12AF72">
      <w:numFmt w:val="bullet"/>
      <w:lvlText w:val="•"/>
      <w:lvlJc w:val="left"/>
      <w:pPr>
        <w:ind w:left="2392" w:hanging="361"/>
      </w:pPr>
      <w:rPr>
        <w:rFonts w:hint="default"/>
        <w:lang w:val="en-US" w:eastAsia="en-US" w:bidi="ar-SA"/>
      </w:rPr>
    </w:lvl>
    <w:lvl w:ilvl="8" w:tplc="3C2CE3C6">
      <w:numFmt w:val="bullet"/>
      <w:lvlText w:val="•"/>
      <w:lvlJc w:val="left"/>
      <w:pPr>
        <w:ind w:left="2631" w:hanging="361"/>
      </w:pPr>
      <w:rPr>
        <w:rFonts w:hint="default"/>
        <w:lang w:val="en-US" w:eastAsia="en-US" w:bidi="ar-SA"/>
      </w:rPr>
    </w:lvl>
  </w:abstractNum>
  <w:abstractNum w:abstractNumId="6" w15:restartNumberingAfterBreak="0">
    <w:nsid w:val="1F9723CE"/>
    <w:multiLevelType w:val="hybridMultilevel"/>
    <w:tmpl w:val="A1D4DB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FE247B1"/>
    <w:multiLevelType w:val="hybridMultilevel"/>
    <w:tmpl w:val="245099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6BE7454"/>
    <w:multiLevelType w:val="hybridMultilevel"/>
    <w:tmpl w:val="4F5278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83E1F55"/>
    <w:multiLevelType w:val="hybridMultilevel"/>
    <w:tmpl w:val="924E3C8E"/>
    <w:lvl w:ilvl="0" w:tplc="04090001">
      <w:start w:val="1"/>
      <w:numFmt w:val="bullet"/>
      <w:lvlText w:val=""/>
      <w:lvlJc w:val="left"/>
      <w:pPr>
        <w:ind w:left="1233" w:hanging="360"/>
      </w:pPr>
      <w:rPr>
        <w:rFonts w:hint="default" w:ascii="Symbol" w:hAnsi="Symbol"/>
      </w:rPr>
    </w:lvl>
    <w:lvl w:ilvl="1" w:tplc="04090003" w:tentative="1">
      <w:start w:val="1"/>
      <w:numFmt w:val="bullet"/>
      <w:lvlText w:val="o"/>
      <w:lvlJc w:val="left"/>
      <w:pPr>
        <w:ind w:left="1953" w:hanging="360"/>
      </w:pPr>
      <w:rPr>
        <w:rFonts w:hint="default" w:ascii="Courier New" w:hAnsi="Courier New" w:cs="Courier New"/>
      </w:rPr>
    </w:lvl>
    <w:lvl w:ilvl="2" w:tplc="04090005" w:tentative="1">
      <w:start w:val="1"/>
      <w:numFmt w:val="bullet"/>
      <w:lvlText w:val=""/>
      <w:lvlJc w:val="left"/>
      <w:pPr>
        <w:ind w:left="2673" w:hanging="360"/>
      </w:pPr>
      <w:rPr>
        <w:rFonts w:hint="default" w:ascii="Wingdings" w:hAnsi="Wingdings"/>
      </w:rPr>
    </w:lvl>
    <w:lvl w:ilvl="3" w:tplc="04090001" w:tentative="1">
      <w:start w:val="1"/>
      <w:numFmt w:val="bullet"/>
      <w:lvlText w:val=""/>
      <w:lvlJc w:val="left"/>
      <w:pPr>
        <w:ind w:left="3393" w:hanging="360"/>
      </w:pPr>
      <w:rPr>
        <w:rFonts w:hint="default" w:ascii="Symbol" w:hAnsi="Symbol"/>
      </w:rPr>
    </w:lvl>
    <w:lvl w:ilvl="4" w:tplc="04090003" w:tentative="1">
      <w:start w:val="1"/>
      <w:numFmt w:val="bullet"/>
      <w:lvlText w:val="o"/>
      <w:lvlJc w:val="left"/>
      <w:pPr>
        <w:ind w:left="4113" w:hanging="360"/>
      </w:pPr>
      <w:rPr>
        <w:rFonts w:hint="default" w:ascii="Courier New" w:hAnsi="Courier New" w:cs="Courier New"/>
      </w:rPr>
    </w:lvl>
    <w:lvl w:ilvl="5" w:tplc="04090005" w:tentative="1">
      <w:start w:val="1"/>
      <w:numFmt w:val="bullet"/>
      <w:lvlText w:val=""/>
      <w:lvlJc w:val="left"/>
      <w:pPr>
        <w:ind w:left="4833" w:hanging="360"/>
      </w:pPr>
      <w:rPr>
        <w:rFonts w:hint="default" w:ascii="Wingdings" w:hAnsi="Wingdings"/>
      </w:rPr>
    </w:lvl>
    <w:lvl w:ilvl="6" w:tplc="04090001" w:tentative="1">
      <w:start w:val="1"/>
      <w:numFmt w:val="bullet"/>
      <w:lvlText w:val=""/>
      <w:lvlJc w:val="left"/>
      <w:pPr>
        <w:ind w:left="5553" w:hanging="360"/>
      </w:pPr>
      <w:rPr>
        <w:rFonts w:hint="default" w:ascii="Symbol" w:hAnsi="Symbol"/>
      </w:rPr>
    </w:lvl>
    <w:lvl w:ilvl="7" w:tplc="04090003" w:tentative="1">
      <w:start w:val="1"/>
      <w:numFmt w:val="bullet"/>
      <w:lvlText w:val="o"/>
      <w:lvlJc w:val="left"/>
      <w:pPr>
        <w:ind w:left="6273" w:hanging="360"/>
      </w:pPr>
      <w:rPr>
        <w:rFonts w:hint="default" w:ascii="Courier New" w:hAnsi="Courier New" w:cs="Courier New"/>
      </w:rPr>
    </w:lvl>
    <w:lvl w:ilvl="8" w:tplc="04090005" w:tentative="1">
      <w:start w:val="1"/>
      <w:numFmt w:val="bullet"/>
      <w:lvlText w:val=""/>
      <w:lvlJc w:val="left"/>
      <w:pPr>
        <w:ind w:left="6993" w:hanging="360"/>
      </w:pPr>
      <w:rPr>
        <w:rFonts w:hint="default" w:ascii="Wingdings" w:hAnsi="Wingdings"/>
      </w:rPr>
    </w:lvl>
  </w:abstractNum>
  <w:abstractNum w:abstractNumId="10" w15:restartNumberingAfterBreak="0">
    <w:nsid w:val="309F13A4"/>
    <w:multiLevelType w:val="hybridMultilevel"/>
    <w:tmpl w:val="7EC837C0"/>
    <w:lvl w:ilvl="0" w:tplc="26060858">
      <w:numFmt w:val="bullet"/>
      <w:lvlText w:val=""/>
      <w:lvlJc w:val="left"/>
      <w:pPr>
        <w:ind w:left="742" w:hanging="360"/>
      </w:pPr>
      <w:rPr>
        <w:rFonts w:hint="default" w:ascii="Symbol" w:hAnsi="Symbol" w:eastAsia="Symbol" w:cs="Symbol"/>
        <w:b w:val="0"/>
        <w:bCs w:val="0"/>
        <w:i w:val="0"/>
        <w:iCs w:val="0"/>
        <w:w w:val="102"/>
        <w:sz w:val="19"/>
        <w:szCs w:val="19"/>
        <w:lang w:val="en-US" w:eastAsia="en-US" w:bidi="ar-SA"/>
      </w:rPr>
    </w:lvl>
    <w:lvl w:ilvl="1" w:tplc="6164997C">
      <w:numFmt w:val="bullet"/>
      <w:lvlText w:val="•"/>
      <w:lvlJc w:val="left"/>
      <w:pPr>
        <w:ind w:left="1054" w:hanging="360"/>
      </w:pPr>
      <w:rPr>
        <w:rFonts w:hint="default"/>
        <w:lang w:val="en-US" w:eastAsia="en-US" w:bidi="ar-SA"/>
      </w:rPr>
    </w:lvl>
    <w:lvl w:ilvl="2" w:tplc="A59A75F0">
      <w:numFmt w:val="bullet"/>
      <w:lvlText w:val="•"/>
      <w:lvlJc w:val="left"/>
      <w:pPr>
        <w:ind w:left="1369" w:hanging="360"/>
      </w:pPr>
      <w:rPr>
        <w:rFonts w:hint="default"/>
        <w:lang w:val="en-US" w:eastAsia="en-US" w:bidi="ar-SA"/>
      </w:rPr>
    </w:lvl>
    <w:lvl w:ilvl="3" w:tplc="D99A98B2">
      <w:numFmt w:val="bullet"/>
      <w:lvlText w:val="•"/>
      <w:lvlJc w:val="left"/>
      <w:pPr>
        <w:ind w:left="1684" w:hanging="360"/>
      </w:pPr>
      <w:rPr>
        <w:rFonts w:hint="default"/>
        <w:lang w:val="en-US" w:eastAsia="en-US" w:bidi="ar-SA"/>
      </w:rPr>
    </w:lvl>
    <w:lvl w:ilvl="4" w:tplc="6DDE3BB0">
      <w:numFmt w:val="bullet"/>
      <w:lvlText w:val="•"/>
      <w:lvlJc w:val="left"/>
      <w:pPr>
        <w:ind w:left="1999" w:hanging="360"/>
      </w:pPr>
      <w:rPr>
        <w:rFonts w:hint="default"/>
        <w:lang w:val="en-US" w:eastAsia="en-US" w:bidi="ar-SA"/>
      </w:rPr>
    </w:lvl>
    <w:lvl w:ilvl="5" w:tplc="55C26D64">
      <w:numFmt w:val="bullet"/>
      <w:lvlText w:val="•"/>
      <w:lvlJc w:val="left"/>
      <w:pPr>
        <w:ind w:left="2314" w:hanging="360"/>
      </w:pPr>
      <w:rPr>
        <w:rFonts w:hint="default"/>
        <w:lang w:val="en-US" w:eastAsia="en-US" w:bidi="ar-SA"/>
      </w:rPr>
    </w:lvl>
    <w:lvl w:ilvl="6" w:tplc="F9BE752E">
      <w:numFmt w:val="bullet"/>
      <w:lvlText w:val="•"/>
      <w:lvlJc w:val="left"/>
      <w:pPr>
        <w:ind w:left="2629" w:hanging="360"/>
      </w:pPr>
      <w:rPr>
        <w:rFonts w:hint="default"/>
        <w:lang w:val="en-US" w:eastAsia="en-US" w:bidi="ar-SA"/>
      </w:rPr>
    </w:lvl>
    <w:lvl w:ilvl="7" w:tplc="028C35C8">
      <w:numFmt w:val="bullet"/>
      <w:lvlText w:val="•"/>
      <w:lvlJc w:val="left"/>
      <w:pPr>
        <w:ind w:left="2944" w:hanging="360"/>
      </w:pPr>
      <w:rPr>
        <w:rFonts w:hint="default"/>
        <w:lang w:val="en-US" w:eastAsia="en-US" w:bidi="ar-SA"/>
      </w:rPr>
    </w:lvl>
    <w:lvl w:ilvl="8" w:tplc="C3787B94">
      <w:numFmt w:val="bullet"/>
      <w:lvlText w:val="•"/>
      <w:lvlJc w:val="left"/>
      <w:pPr>
        <w:ind w:left="3259" w:hanging="360"/>
      </w:pPr>
      <w:rPr>
        <w:rFonts w:hint="default"/>
        <w:lang w:val="en-US" w:eastAsia="en-US" w:bidi="ar-SA"/>
      </w:rPr>
    </w:lvl>
  </w:abstractNum>
  <w:abstractNum w:abstractNumId="11" w15:restartNumberingAfterBreak="0">
    <w:nsid w:val="359264EE"/>
    <w:multiLevelType w:val="hybridMultilevel"/>
    <w:tmpl w:val="B65695E6"/>
    <w:lvl w:ilvl="0" w:tplc="47FABDE8">
      <w:start w:val="1"/>
      <w:numFmt w:val="bullet"/>
      <w:lvlText w:val=""/>
      <w:lvlJc w:val="left"/>
      <w:pPr>
        <w:ind w:left="720" w:hanging="360"/>
      </w:pPr>
      <w:rPr>
        <w:rFonts w:hint="default" w:ascii="Symbol" w:hAnsi="Symbol"/>
      </w:rPr>
    </w:lvl>
    <w:lvl w:ilvl="1" w:tplc="11425482">
      <w:start w:val="1"/>
      <w:numFmt w:val="bullet"/>
      <w:lvlText w:val="o"/>
      <w:lvlJc w:val="left"/>
      <w:pPr>
        <w:ind w:left="1440" w:hanging="360"/>
      </w:pPr>
      <w:rPr>
        <w:rFonts w:hint="default" w:ascii="Courier New" w:hAnsi="Courier New"/>
      </w:rPr>
    </w:lvl>
    <w:lvl w:ilvl="2" w:tplc="84ECDB2C">
      <w:start w:val="1"/>
      <w:numFmt w:val="bullet"/>
      <w:lvlText w:val=""/>
      <w:lvlJc w:val="left"/>
      <w:pPr>
        <w:ind w:left="2160" w:hanging="360"/>
      </w:pPr>
      <w:rPr>
        <w:rFonts w:hint="default" w:ascii="Wingdings" w:hAnsi="Wingdings"/>
      </w:rPr>
    </w:lvl>
    <w:lvl w:ilvl="3" w:tplc="B70E355A">
      <w:start w:val="1"/>
      <w:numFmt w:val="bullet"/>
      <w:lvlText w:val=""/>
      <w:lvlJc w:val="left"/>
      <w:pPr>
        <w:ind w:left="2880" w:hanging="360"/>
      </w:pPr>
      <w:rPr>
        <w:rFonts w:hint="default" w:ascii="Symbol" w:hAnsi="Symbol"/>
      </w:rPr>
    </w:lvl>
    <w:lvl w:ilvl="4" w:tplc="082E105C">
      <w:start w:val="1"/>
      <w:numFmt w:val="bullet"/>
      <w:lvlText w:val="o"/>
      <w:lvlJc w:val="left"/>
      <w:pPr>
        <w:ind w:left="3600" w:hanging="360"/>
      </w:pPr>
      <w:rPr>
        <w:rFonts w:hint="default" w:ascii="Courier New" w:hAnsi="Courier New"/>
      </w:rPr>
    </w:lvl>
    <w:lvl w:ilvl="5" w:tplc="E766D960">
      <w:start w:val="1"/>
      <w:numFmt w:val="bullet"/>
      <w:lvlText w:val=""/>
      <w:lvlJc w:val="left"/>
      <w:pPr>
        <w:ind w:left="4320" w:hanging="360"/>
      </w:pPr>
      <w:rPr>
        <w:rFonts w:hint="default" w:ascii="Wingdings" w:hAnsi="Wingdings"/>
      </w:rPr>
    </w:lvl>
    <w:lvl w:ilvl="6" w:tplc="D5187E62">
      <w:start w:val="1"/>
      <w:numFmt w:val="bullet"/>
      <w:lvlText w:val=""/>
      <w:lvlJc w:val="left"/>
      <w:pPr>
        <w:ind w:left="5040" w:hanging="360"/>
      </w:pPr>
      <w:rPr>
        <w:rFonts w:hint="default" w:ascii="Symbol" w:hAnsi="Symbol"/>
      </w:rPr>
    </w:lvl>
    <w:lvl w:ilvl="7" w:tplc="F35231BE">
      <w:start w:val="1"/>
      <w:numFmt w:val="bullet"/>
      <w:lvlText w:val="o"/>
      <w:lvlJc w:val="left"/>
      <w:pPr>
        <w:ind w:left="5760" w:hanging="360"/>
      </w:pPr>
      <w:rPr>
        <w:rFonts w:hint="default" w:ascii="Courier New" w:hAnsi="Courier New"/>
      </w:rPr>
    </w:lvl>
    <w:lvl w:ilvl="8" w:tplc="ACD8502E">
      <w:start w:val="1"/>
      <w:numFmt w:val="bullet"/>
      <w:lvlText w:val=""/>
      <w:lvlJc w:val="left"/>
      <w:pPr>
        <w:ind w:left="6480" w:hanging="360"/>
      </w:pPr>
      <w:rPr>
        <w:rFonts w:hint="default" w:ascii="Wingdings" w:hAnsi="Wingdings"/>
      </w:rPr>
    </w:lvl>
  </w:abstractNum>
  <w:abstractNum w:abstractNumId="12" w15:restartNumberingAfterBreak="0">
    <w:nsid w:val="366B589F"/>
    <w:multiLevelType w:val="hybridMultilevel"/>
    <w:tmpl w:val="0AEEA6FE"/>
    <w:lvl w:ilvl="0" w:tplc="09FC5D68">
      <w:numFmt w:val="bullet"/>
      <w:lvlText w:val=""/>
      <w:lvlJc w:val="left"/>
      <w:pPr>
        <w:ind w:left="728" w:hanging="361"/>
      </w:pPr>
      <w:rPr>
        <w:rFonts w:hint="default" w:ascii="Symbol" w:hAnsi="Symbol" w:eastAsia="Symbol" w:cs="Symbol"/>
        <w:b w:val="0"/>
        <w:bCs w:val="0"/>
        <w:i w:val="0"/>
        <w:iCs w:val="0"/>
        <w:w w:val="102"/>
        <w:sz w:val="19"/>
        <w:szCs w:val="19"/>
        <w:lang w:val="en-US" w:eastAsia="en-US" w:bidi="ar-SA"/>
      </w:rPr>
    </w:lvl>
    <w:lvl w:ilvl="1" w:tplc="EE0C076A">
      <w:numFmt w:val="bullet"/>
      <w:lvlText w:val="•"/>
      <w:lvlJc w:val="left"/>
      <w:pPr>
        <w:ind w:left="958" w:hanging="361"/>
      </w:pPr>
      <w:rPr>
        <w:rFonts w:hint="default"/>
        <w:lang w:val="en-US" w:eastAsia="en-US" w:bidi="ar-SA"/>
      </w:rPr>
    </w:lvl>
    <w:lvl w:ilvl="2" w:tplc="DC2E6CB4">
      <w:numFmt w:val="bullet"/>
      <w:lvlText w:val="•"/>
      <w:lvlJc w:val="left"/>
      <w:pPr>
        <w:ind w:left="1197" w:hanging="361"/>
      </w:pPr>
      <w:rPr>
        <w:rFonts w:hint="default"/>
        <w:lang w:val="en-US" w:eastAsia="en-US" w:bidi="ar-SA"/>
      </w:rPr>
    </w:lvl>
    <w:lvl w:ilvl="3" w:tplc="C2D63BFA">
      <w:numFmt w:val="bullet"/>
      <w:lvlText w:val="•"/>
      <w:lvlJc w:val="left"/>
      <w:pPr>
        <w:ind w:left="1436" w:hanging="361"/>
      </w:pPr>
      <w:rPr>
        <w:rFonts w:hint="default"/>
        <w:lang w:val="en-US" w:eastAsia="en-US" w:bidi="ar-SA"/>
      </w:rPr>
    </w:lvl>
    <w:lvl w:ilvl="4" w:tplc="5484CD3A">
      <w:numFmt w:val="bullet"/>
      <w:lvlText w:val="•"/>
      <w:lvlJc w:val="left"/>
      <w:pPr>
        <w:ind w:left="1675" w:hanging="361"/>
      </w:pPr>
      <w:rPr>
        <w:rFonts w:hint="default"/>
        <w:lang w:val="en-US" w:eastAsia="en-US" w:bidi="ar-SA"/>
      </w:rPr>
    </w:lvl>
    <w:lvl w:ilvl="5" w:tplc="B19E8716">
      <w:numFmt w:val="bullet"/>
      <w:lvlText w:val="•"/>
      <w:lvlJc w:val="left"/>
      <w:pPr>
        <w:ind w:left="1914" w:hanging="361"/>
      </w:pPr>
      <w:rPr>
        <w:rFonts w:hint="default"/>
        <w:lang w:val="en-US" w:eastAsia="en-US" w:bidi="ar-SA"/>
      </w:rPr>
    </w:lvl>
    <w:lvl w:ilvl="6" w:tplc="E660757A">
      <w:numFmt w:val="bullet"/>
      <w:lvlText w:val="•"/>
      <w:lvlJc w:val="left"/>
      <w:pPr>
        <w:ind w:left="2153" w:hanging="361"/>
      </w:pPr>
      <w:rPr>
        <w:rFonts w:hint="default"/>
        <w:lang w:val="en-US" w:eastAsia="en-US" w:bidi="ar-SA"/>
      </w:rPr>
    </w:lvl>
    <w:lvl w:ilvl="7" w:tplc="46300330">
      <w:numFmt w:val="bullet"/>
      <w:lvlText w:val="•"/>
      <w:lvlJc w:val="left"/>
      <w:pPr>
        <w:ind w:left="2392" w:hanging="361"/>
      </w:pPr>
      <w:rPr>
        <w:rFonts w:hint="default"/>
        <w:lang w:val="en-US" w:eastAsia="en-US" w:bidi="ar-SA"/>
      </w:rPr>
    </w:lvl>
    <w:lvl w:ilvl="8" w:tplc="801AD22A">
      <w:numFmt w:val="bullet"/>
      <w:lvlText w:val="•"/>
      <w:lvlJc w:val="left"/>
      <w:pPr>
        <w:ind w:left="2631" w:hanging="361"/>
      </w:pPr>
      <w:rPr>
        <w:rFonts w:hint="default"/>
        <w:lang w:val="en-US" w:eastAsia="en-US" w:bidi="ar-SA"/>
      </w:rPr>
    </w:lvl>
  </w:abstractNum>
  <w:abstractNum w:abstractNumId="13" w15:restartNumberingAfterBreak="0">
    <w:nsid w:val="36A224F1"/>
    <w:multiLevelType w:val="hybridMultilevel"/>
    <w:tmpl w:val="FB78C1B6"/>
    <w:lvl w:ilvl="0" w:tplc="F80EDF9E">
      <w:numFmt w:val="bullet"/>
      <w:lvlText w:val=""/>
      <w:lvlJc w:val="left"/>
      <w:pPr>
        <w:ind w:left="742" w:hanging="360"/>
      </w:pPr>
      <w:rPr>
        <w:rFonts w:hint="default" w:ascii="Symbol" w:hAnsi="Symbol" w:eastAsia="Symbol" w:cs="Symbol"/>
        <w:b w:val="0"/>
        <w:bCs w:val="0"/>
        <w:i w:val="0"/>
        <w:iCs w:val="0"/>
        <w:w w:val="102"/>
        <w:sz w:val="19"/>
        <w:szCs w:val="19"/>
        <w:lang w:val="en-US" w:eastAsia="en-US" w:bidi="ar-SA"/>
      </w:rPr>
    </w:lvl>
    <w:lvl w:ilvl="1" w:tplc="36CA29F0">
      <w:numFmt w:val="bullet"/>
      <w:lvlText w:val="•"/>
      <w:lvlJc w:val="left"/>
      <w:pPr>
        <w:ind w:left="1054" w:hanging="360"/>
      </w:pPr>
      <w:rPr>
        <w:rFonts w:hint="default"/>
        <w:lang w:val="en-US" w:eastAsia="en-US" w:bidi="ar-SA"/>
      </w:rPr>
    </w:lvl>
    <w:lvl w:ilvl="2" w:tplc="47282442">
      <w:numFmt w:val="bullet"/>
      <w:lvlText w:val="•"/>
      <w:lvlJc w:val="left"/>
      <w:pPr>
        <w:ind w:left="1369" w:hanging="360"/>
      </w:pPr>
      <w:rPr>
        <w:rFonts w:hint="default"/>
        <w:lang w:val="en-US" w:eastAsia="en-US" w:bidi="ar-SA"/>
      </w:rPr>
    </w:lvl>
    <w:lvl w:ilvl="3" w:tplc="5C62934C">
      <w:numFmt w:val="bullet"/>
      <w:lvlText w:val="•"/>
      <w:lvlJc w:val="left"/>
      <w:pPr>
        <w:ind w:left="1684" w:hanging="360"/>
      </w:pPr>
      <w:rPr>
        <w:rFonts w:hint="default"/>
        <w:lang w:val="en-US" w:eastAsia="en-US" w:bidi="ar-SA"/>
      </w:rPr>
    </w:lvl>
    <w:lvl w:ilvl="4" w:tplc="76B20DA2">
      <w:numFmt w:val="bullet"/>
      <w:lvlText w:val="•"/>
      <w:lvlJc w:val="left"/>
      <w:pPr>
        <w:ind w:left="1999" w:hanging="360"/>
      </w:pPr>
      <w:rPr>
        <w:rFonts w:hint="default"/>
        <w:lang w:val="en-US" w:eastAsia="en-US" w:bidi="ar-SA"/>
      </w:rPr>
    </w:lvl>
    <w:lvl w:ilvl="5" w:tplc="84C4D7B4">
      <w:numFmt w:val="bullet"/>
      <w:lvlText w:val="•"/>
      <w:lvlJc w:val="left"/>
      <w:pPr>
        <w:ind w:left="2314" w:hanging="360"/>
      </w:pPr>
      <w:rPr>
        <w:rFonts w:hint="default"/>
        <w:lang w:val="en-US" w:eastAsia="en-US" w:bidi="ar-SA"/>
      </w:rPr>
    </w:lvl>
    <w:lvl w:ilvl="6" w:tplc="8E443470">
      <w:numFmt w:val="bullet"/>
      <w:lvlText w:val="•"/>
      <w:lvlJc w:val="left"/>
      <w:pPr>
        <w:ind w:left="2629" w:hanging="360"/>
      </w:pPr>
      <w:rPr>
        <w:rFonts w:hint="default"/>
        <w:lang w:val="en-US" w:eastAsia="en-US" w:bidi="ar-SA"/>
      </w:rPr>
    </w:lvl>
    <w:lvl w:ilvl="7" w:tplc="2DC8B6CC">
      <w:numFmt w:val="bullet"/>
      <w:lvlText w:val="•"/>
      <w:lvlJc w:val="left"/>
      <w:pPr>
        <w:ind w:left="2944" w:hanging="360"/>
      </w:pPr>
      <w:rPr>
        <w:rFonts w:hint="default"/>
        <w:lang w:val="en-US" w:eastAsia="en-US" w:bidi="ar-SA"/>
      </w:rPr>
    </w:lvl>
    <w:lvl w:ilvl="8" w:tplc="27786A46">
      <w:numFmt w:val="bullet"/>
      <w:lvlText w:val="•"/>
      <w:lvlJc w:val="left"/>
      <w:pPr>
        <w:ind w:left="3259" w:hanging="360"/>
      </w:pPr>
      <w:rPr>
        <w:rFonts w:hint="default"/>
        <w:lang w:val="en-US" w:eastAsia="en-US" w:bidi="ar-SA"/>
      </w:rPr>
    </w:lvl>
  </w:abstractNum>
  <w:abstractNum w:abstractNumId="14" w15:restartNumberingAfterBreak="0">
    <w:nsid w:val="3DCD248C"/>
    <w:multiLevelType w:val="hybridMultilevel"/>
    <w:tmpl w:val="A92231B2"/>
    <w:lvl w:ilvl="0" w:tplc="FEB4FA1C">
      <w:numFmt w:val="bullet"/>
      <w:lvlText w:val=""/>
      <w:lvlJc w:val="left"/>
      <w:pPr>
        <w:ind w:left="742" w:hanging="360"/>
      </w:pPr>
      <w:rPr>
        <w:rFonts w:hint="default" w:ascii="Symbol" w:hAnsi="Symbol" w:eastAsia="Symbol" w:cs="Symbol"/>
        <w:b w:val="0"/>
        <w:bCs w:val="0"/>
        <w:i w:val="0"/>
        <w:iCs w:val="0"/>
        <w:w w:val="102"/>
        <w:sz w:val="22"/>
        <w:szCs w:val="22"/>
        <w:lang w:val="en-US" w:eastAsia="en-US" w:bidi="ar-SA"/>
      </w:rPr>
    </w:lvl>
    <w:lvl w:ilvl="1" w:tplc="8AA8D47A">
      <w:numFmt w:val="bullet"/>
      <w:lvlText w:val="•"/>
      <w:lvlJc w:val="left"/>
      <w:pPr>
        <w:ind w:left="1054" w:hanging="360"/>
      </w:pPr>
      <w:rPr>
        <w:rFonts w:hint="default"/>
        <w:lang w:val="en-US" w:eastAsia="en-US" w:bidi="ar-SA"/>
      </w:rPr>
    </w:lvl>
    <w:lvl w:ilvl="2" w:tplc="FA460894">
      <w:numFmt w:val="bullet"/>
      <w:lvlText w:val="•"/>
      <w:lvlJc w:val="left"/>
      <w:pPr>
        <w:ind w:left="1369" w:hanging="360"/>
      </w:pPr>
      <w:rPr>
        <w:rFonts w:hint="default"/>
        <w:lang w:val="en-US" w:eastAsia="en-US" w:bidi="ar-SA"/>
      </w:rPr>
    </w:lvl>
    <w:lvl w:ilvl="3" w:tplc="88E8BA2E">
      <w:numFmt w:val="bullet"/>
      <w:lvlText w:val="•"/>
      <w:lvlJc w:val="left"/>
      <w:pPr>
        <w:ind w:left="1684" w:hanging="360"/>
      </w:pPr>
      <w:rPr>
        <w:rFonts w:hint="default"/>
        <w:lang w:val="en-US" w:eastAsia="en-US" w:bidi="ar-SA"/>
      </w:rPr>
    </w:lvl>
    <w:lvl w:ilvl="4" w:tplc="2E2E116E">
      <w:numFmt w:val="bullet"/>
      <w:lvlText w:val="•"/>
      <w:lvlJc w:val="left"/>
      <w:pPr>
        <w:ind w:left="1999" w:hanging="360"/>
      </w:pPr>
      <w:rPr>
        <w:rFonts w:hint="default"/>
        <w:lang w:val="en-US" w:eastAsia="en-US" w:bidi="ar-SA"/>
      </w:rPr>
    </w:lvl>
    <w:lvl w:ilvl="5" w:tplc="FDF43C90">
      <w:numFmt w:val="bullet"/>
      <w:lvlText w:val="•"/>
      <w:lvlJc w:val="left"/>
      <w:pPr>
        <w:ind w:left="2314" w:hanging="360"/>
      </w:pPr>
      <w:rPr>
        <w:rFonts w:hint="default"/>
        <w:lang w:val="en-US" w:eastAsia="en-US" w:bidi="ar-SA"/>
      </w:rPr>
    </w:lvl>
    <w:lvl w:ilvl="6" w:tplc="C52CA1DA">
      <w:numFmt w:val="bullet"/>
      <w:lvlText w:val="•"/>
      <w:lvlJc w:val="left"/>
      <w:pPr>
        <w:ind w:left="2629" w:hanging="360"/>
      </w:pPr>
      <w:rPr>
        <w:rFonts w:hint="default"/>
        <w:lang w:val="en-US" w:eastAsia="en-US" w:bidi="ar-SA"/>
      </w:rPr>
    </w:lvl>
    <w:lvl w:ilvl="7" w:tplc="D394909E">
      <w:numFmt w:val="bullet"/>
      <w:lvlText w:val="•"/>
      <w:lvlJc w:val="left"/>
      <w:pPr>
        <w:ind w:left="2944" w:hanging="360"/>
      </w:pPr>
      <w:rPr>
        <w:rFonts w:hint="default"/>
        <w:lang w:val="en-US" w:eastAsia="en-US" w:bidi="ar-SA"/>
      </w:rPr>
    </w:lvl>
    <w:lvl w:ilvl="8" w:tplc="90801C9E">
      <w:numFmt w:val="bullet"/>
      <w:lvlText w:val="•"/>
      <w:lvlJc w:val="left"/>
      <w:pPr>
        <w:ind w:left="3259" w:hanging="360"/>
      </w:pPr>
      <w:rPr>
        <w:rFonts w:hint="default"/>
        <w:lang w:val="en-US" w:eastAsia="en-US" w:bidi="ar-SA"/>
      </w:rPr>
    </w:lvl>
  </w:abstractNum>
  <w:abstractNum w:abstractNumId="15" w15:restartNumberingAfterBreak="0">
    <w:nsid w:val="3E3B0D07"/>
    <w:multiLevelType w:val="hybridMultilevel"/>
    <w:tmpl w:val="CE54E096"/>
    <w:lvl w:ilvl="0" w:tplc="6E2883DE">
      <w:numFmt w:val="bullet"/>
      <w:lvlText w:val=""/>
      <w:lvlJc w:val="left"/>
      <w:pPr>
        <w:ind w:left="728" w:hanging="361"/>
      </w:pPr>
      <w:rPr>
        <w:rFonts w:hint="default" w:ascii="Symbol" w:hAnsi="Symbol" w:eastAsia="Symbol" w:cs="Symbol"/>
        <w:b w:val="0"/>
        <w:bCs w:val="0"/>
        <w:i w:val="0"/>
        <w:iCs w:val="0"/>
        <w:w w:val="102"/>
        <w:sz w:val="22"/>
        <w:szCs w:val="22"/>
        <w:lang w:val="en-US" w:eastAsia="en-US" w:bidi="ar-SA"/>
      </w:rPr>
    </w:lvl>
    <w:lvl w:ilvl="1" w:tplc="5B703EA2">
      <w:numFmt w:val="bullet"/>
      <w:lvlText w:val=""/>
      <w:lvlJc w:val="left"/>
      <w:pPr>
        <w:ind w:left="1448" w:hanging="361"/>
      </w:pPr>
      <w:rPr>
        <w:rFonts w:hint="default" w:ascii="Wingdings" w:hAnsi="Wingdings" w:eastAsia="Wingdings" w:cs="Wingdings"/>
        <w:b w:val="0"/>
        <w:bCs w:val="0"/>
        <w:i w:val="0"/>
        <w:iCs w:val="0"/>
        <w:w w:val="102"/>
        <w:sz w:val="22"/>
        <w:szCs w:val="22"/>
        <w:lang w:val="en-US" w:eastAsia="en-US" w:bidi="ar-SA"/>
      </w:rPr>
    </w:lvl>
    <w:lvl w:ilvl="2" w:tplc="2D3EFF1E">
      <w:numFmt w:val="bullet"/>
      <w:lvlText w:val="•"/>
      <w:lvlJc w:val="left"/>
      <w:pPr>
        <w:ind w:left="2479" w:hanging="361"/>
      </w:pPr>
      <w:rPr>
        <w:rFonts w:hint="default"/>
        <w:lang w:val="en-US" w:eastAsia="en-US" w:bidi="ar-SA"/>
      </w:rPr>
    </w:lvl>
    <w:lvl w:ilvl="3" w:tplc="BE2AC1E4">
      <w:numFmt w:val="bullet"/>
      <w:lvlText w:val="•"/>
      <w:lvlJc w:val="left"/>
      <w:pPr>
        <w:ind w:left="3519" w:hanging="361"/>
      </w:pPr>
      <w:rPr>
        <w:rFonts w:hint="default"/>
        <w:lang w:val="en-US" w:eastAsia="en-US" w:bidi="ar-SA"/>
      </w:rPr>
    </w:lvl>
    <w:lvl w:ilvl="4" w:tplc="F734408A">
      <w:numFmt w:val="bullet"/>
      <w:lvlText w:val="•"/>
      <w:lvlJc w:val="left"/>
      <w:pPr>
        <w:ind w:left="4559" w:hanging="361"/>
      </w:pPr>
      <w:rPr>
        <w:rFonts w:hint="default"/>
        <w:lang w:val="en-US" w:eastAsia="en-US" w:bidi="ar-SA"/>
      </w:rPr>
    </w:lvl>
    <w:lvl w:ilvl="5" w:tplc="54A003DC">
      <w:numFmt w:val="bullet"/>
      <w:lvlText w:val="•"/>
      <w:lvlJc w:val="left"/>
      <w:pPr>
        <w:ind w:left="5599" w:hanging="361"/>
      </w:pPr>
      <w:rPr>
        <w:rFonts w:hint="default"/>
        <w:lang w:val="en-US" w:eastAsia="en-US" w:bidi="ar-SA"/>
      </w:rPr>
    </w:lvl>
    <w:lvl w:ilvl="6" w:tplc="58B22590">
      <w:numFmt w:val="bullet"/>
      <w:lvlText w:val="•"/>
      <w:lvlJc w:val="left"/>
      <w:pPr>
        <w:ind w:left="6638" w:hanging="361"/>
      </w:pPr>
      <w:rPr>
        <w:rFonts w:hint="default"/>
        <w:lang w:val="en-US" w:eastAsia="en-US" w:bidi="ar-SA"/>
      </w:rPr>
    </w:lvl>
    <w:lvl w:ilvl="7" w:tplc="7E760272">
      <w:numFmt w:val="bullet"/>
      <w:lvlText w:val="•"/>
      <w:lvlJc w:val="left"/>
      <w:pPr>
        <w:ind w:left="7678" w:hanging="361"/>
      </w:pPr>
      <w:rPr>
        <w:rFonts w:hint="default"/>
        <w:lang w:val="en-US" w:eastAsia="en-US" w:bidi="ar-SA"/>
      </w:rPr>
    </w:lvl>
    <w:lvl w:ilvl="8" w:tplc="2E0A7D82">
      <w:numFmt w:val="bullet"/>
      <w:lvlText w:val="•"/>
      <w:lvlJc w:val="left"/>
      <w:pPr>
        <w:ind w:left="8718" w:hanging="361"/>
      </w:pPr>
      <w:rPr>
        <w:rFonts w:hint="default"/>
        <w:lang w:val="en-US" w:eastAsia="en-US" w:bidi="ar-SA"/>
      </w:rPr>
    </w:lvl>
  </w:abstractNum>
  <w:abstractNum w:abstractNumId="16" w15:restartNumberingAfterBreak="0">
    <w:nsid w:val="40B51EAE"/>
    <w:multiLevelType w:val="hybridMultilevel"/>
    <w:tmpl w:val="D912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C600E"/>
    <w:multiLevelType w:val="multilevel"/>
    <w:tmpl w:val="6BAC1D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026C0E"/>
    <w:multiLevelType w:val="hybridMultilevel"/>
    <w:tmpl w:val="B170C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47E05"/>
    <w:multiLevelType w:val="hybridMultilevel"/>
    <w:tmpl w:val="C43CB3CE"/>
    <w:lvl w:ilvl="0" w:tplc="729C3212">
      <w:numFmt w:val="bullet"/>
      <w:lvlText w:val=""/>
      <w:lvlJc w:val="left"/>
      <w:pPr>
        <w:ind w:left="728" w:hanging="361"/>
      </w:pPr>
      <w:rPr>
        <w:rFonts w:hint="default" w:ascii="Symbol" w:hAnsi="Symbol" w:eastAsia="Symbol" w:cs="Symbol"/>
        <w:b w:val="0"/>
        <w:bCs w:val="0"/>
        <w:i w:val="0"/>
        <w:iCs w:val="0"/>
        <w:w w:val="102"/>
        <w:sz w:val="22"/>
        <w:szCs w:val="22"/>
        <w:lang w:val="en-US" w:eastAsia="en-US" w:bidi="ar-SA"/>
      </w:rPr>
    </w:lvl>
    <w:lvl w:ilvl="1" w:tplc="4754DC70">
      <w:numFmt w:val="bullet"/>
      <w:lvlText w:val="•"/>
      <w:lvlJc w:val="left"/>
      <w:pPr>
        <w:ind w:left="958" w:hanging="361"/>
      </w:pPr>
      <w:rPr>
        <w:rFonts w:hint="default"/>
        <w:lang w:val="en-US" w:eastAsia="en-US" w:bidi="ar-SA"/>
      </w:rPr>
    </w:lvl>
    <w:lvl w:ilvl="2" w:tplc="3D6E119C">
      <w:numFmt w:val="bullet"/>
      <w:lvlText w:val="•"/>
      <w:lvlJc w:val="left"/>
      <w:pPr>
        <w:ind w:left="1197" w:hanging="361"/>
      </w:pPr>
      <w:rPr>
        <w:rFonts w:hint="default"/>
        <w:lang w:val="en-US" w:eastAsia="en-US" w:bidi="ar-SA"/>
      </w:rPr>
    </w:lvl>
    <w:lvl w:ilvl="3" w:tplc="F81CF61E">
      <w:numFmt w:val="bullet"/>
      <w:lvlText w:val="•"/>
      <w:lvlJc w:val="left"/>
      <w:pPr>
        <w:ind w:left="1436" w:hanging="361"/>
      </w:pPr>
      <w:rPr>
        <w:rFonts w:hint="default"/>
        <w:lang w:val="en-US" w:eastAsia="en-US" w:bidi="ar-SA"/>
      </w:rPr>
    </w:lvl>
    <w:lvl w:ilvl="4" w:tplc="6AC8D532">
      <w:numFmt w:val="bullet"/>
      <w:lvlText w:val="•"/>
      <w:lvlJc w:val="left"/>
      <w:pPr>
        <w:ind w:left="1675" w:hanging="361"/>
      </w:pPr>
      <w:rPr>
        <w:rFonts w:hint="default"/>
        <w:lang w:val="en-US" w:eastAsia="en-US" w:bidi="ar-SA"/>
      </w:rPr>
    </w:lvl>
    <w:lvl w:ilvl="5" w:tplc="9C480EB8">
      <w:numFmt w:val="bullet"/>
      <w:lvlText w:val="•"/>
      <w:lvlJc w:val="left"/>
      <w:pPr>
        <w:ind w:left="1914" w:hanging="361"/>
      </w:pPr>
      <w:rPr>
        <w:rFonts w:hint="default"/>
        <w:lang w:val="en-US" w:eastAsia="en-US" w:bidi="ar-SA"/>
      </w:rPr>
    </w:lvl>
    <w:lvl w:ilvl="6" w:tplc="E84AEFC8">
      <w:numFmt w:val="bullet"/>
      <w:lvlText w:val="•"/>
      <w:lvlJc w:val="left"/>
      <w:pPr>
        <w:ind w:left="2153" w:hanging="361"/>
      </w:pPr>
      <w:rPr>
        <w:rFonts w:hint="default"/>
        <w:lang w:val="en-US" w:eastAsia="en-US" w:bidi="ar-SA"/>
      </w:rPr>
    </w:lvl>
    <w:lvl w:ilvl="7" w:tplc="6D88772C">
      <w:numFmt w:val="bullet"/>
      <w:lvlText w:val="•"/>
      <w:lvlJc w:val="left"/>
      <w:pPr>
        <w:ind w:left="2392" w:hanging="361"/>
      </w:pPr>
      <w:rPr>
        <w:rFonts w:hint="default"/>
        <w:lang w:val="en-US" w:eastAsia="en-US" w:bidi="ar-SA"/>
      </w:rPr>
    </w:lvl>
    <w:lvl w:ilvl="8" w:tplc="3C56385E">
      <w:numFmt w:val="bullet"/>
      <w:lvlText w:val="•"/>
      <w:lvlJc w:val="left"/>
      <w:pPr>
        <w:ind w:left="2631" w:hanging="361"/>
      </w:pPr>
      <w:rPr>
        <w:rFonts w:hint="default"/>
        <w:lang w:val="en-US" w:eastAsia="en-US" w:bidi="ar-SA"/>
      </w:rPr>
    </w:lvl>
  </w:abstractNum>
  <w:abstractNum w:abstractNumId="20" w15:restartNumberingAfterBreak="0">
    <w:nsid w:val="54910A6D"/>
    <w:multiLevelType w:val="multilevel"/>
    <w:tmpl w:val="74183E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AF469C"/>
    <w:multiLevelType w:val="hybridMultilevel"/>
    <w:tmpl w:val="19681BD8"/>
    <w:lvl w:ilvl="0" w:tplc="04090001">
      <w:start w:val="1"/>
      <w:numFmt w:val="bullet"/>
      <w:lvlText w:val=""/>
      <w:lvlJc w:val="left"/>
      <w:pPr>
        <w:ind w:left="1233" w:hanging="360"/>
      </w:pPr>
      <w:rPr>
        <w:rFonts w:hint="default" w:ascii="Symbol" w:hAnsi="Symbol"/>
      </w:rPr>
    </w:lvl>
    <w:lvl w:ilvl="1" w:tplc="04090003" w:tentative="1">
      <w:start w:val="1"/>
      <w:numFmt w:val="bullet"/>
      <w:lvlText w:val="o"/>
      <w:lvlJc w:val="left"/>
      <w:pPr>
        <w:ind w:left="1953" w:hanging="360"/>
      </w:pPr>
      <w:rPr>
        <w:rFonts w:hint="default" w:ascii="Courier New" w:hAnsi="Courier New" w:cs="Courier New"/>
      </w:rPr>
    </w:lvl>
    <w:lvl w:ilvl="2" w:tplc="04090005" w:tentative="1">
      <w:start w:val="1"/>
      <w:numFmt w:val="bullet"/>
      <w:lvlText w:val=""/>
      <w:lvlJc w:val="left"/>
      <w:pPr>
        <w:ind w:left="2673" w:hanging="360"/>
      </w:pPr>
      <w:rPr>
        <w:rFonts w:hint="default" w:ascii="Wingdings" w:hAnsi="Wingdings"/>
      </w:rPr>
    </w:lvl>
    <w:lvl w:ilvl="3" w:tplc="04090001" w:tentative="1">
      <w:start w:val="1"/>
      <w:numFmt w:val="bullet"/>
      <w:lvlText w:val=""/>
      <w:lvlJc w:val="left"/>
      <w:pPr>
        <w:ind w:left="3393" w:hanging="360"/>
      </w:pPr>
      <w:rPr>
        <w:rFonts w:hint="default" w:ascii="Symbol" w:hAnsi="Symbol"/>
      </w:rPr>
    </w:lvl>
    <w:lvl w:ilvl="4" w:tplc="04090003" w:tentative="1">
      <w:start w:val="1"/>
      <w:numFmt w:val="bullet"/>
      <w:lvlText w:val="o"/>
      <w:lvlJc w:val="left"/>
      <w:pPr>
        <w:ind w:left="4113" w:hanging="360"/>
      </w:pPr>
      <w:rPr>
        <w:rFonts w:hint="default" w:ascii="Courier New" w:hAnsi="Courier New" w:cs="Courier New"/>
      </w:rPr>
    </w:lvl>
    <w:lvl w:ilvl="5" w:tplc="04090005" w:tentative="1">
      <w:start w:val="1"/>
      <w:numFmt w:val="bullet"/>
      <w:lvlText w:val=""/>
      <w:lvlJc w:val="left"/>
      <w:pPr>
        <w:ind w:left="4833" w:hanging="360"/>
      </w:pPr>
      <w:rPr>
        <w:rFonts w:hint="default" w:ascii="Wingdings" w:hAnsi="Wingdings"/>
      </w:rPr>
    </w:lvl>
    <w:lvl w:ilvl="6" w:tplc="04090001" w:tentative="1">
      <w:start w:val="1"/>
      <w:numFmt w:val="bullet"/>
      <w:lvlText w:val=""/>
      <w:lvlJc w:val="left"/>
      <w:pPr>
        <w:ind w:left="5553" w:hanging="360"/>
      </w:pPr>
      <w:rPr>
        <w:rFonts w:hint="default" w:ascii="Symbol" w:hAnsi="Symbol"/>
      </w:rPr>
    </w:lvl>
    <w:lvl w:ilvl="7" w:tplc="04090003" w:tentative="1">
      <w:start w:val="1"/>
      <w:numFmt w:val="bullet"/>
      <w:lvlText w:val="o"/>
      <w:lvlJc w:val="left"/>
      <w:pPr>
        <w:ind w:left="6273" w:hanging="360"/>
      </w:pPr>
      <w:rPr>
        <w:rFonts w:hint="default" w:ascii="Courier New" w:hAnsi="Courier New" w:cs="Courier New"/>
      </w:rPr>
    </w:lvl>
    <w:lvl w:ilvl="8" w:tplc="04090005" w:tentative="1">
      <w:start w:val="1"/>
      <w:numFmt w:val="bullet"/>
      <w:lvlText w:val=""/>
      <w:lvlJc w:val="left"/>
      <w:pPr>
        <w:ind w:left="6993" w:hanging="360"/>
      </w:pPr>
      <w:rPr>
        <w:rFonts w:hint="default" w:ascii="Wingdings" w:hAnsi="Wingdings"/>
      </w:rPr>
    </w:lvl>
  </w:abstractNum>
  <w:abstractNum w:abstractNumId="22" w15:restartNumberingAfterBreak="0">
    <w:nsid w:val="6DDF40C4"/>
    <w:multiLevelType w:val="hybridMultilevel"/>
    <w:tmpl w:val="3E4A31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EFE462B"/>
    <w:multiLevelType w:val="hybridMultilevel"/>
    <w:tmpl w:val="61402E9C"/>
    <w:lvl w:ilvl="0" w:tplc="679C64B8">
      <w:numFmt w:val="bullet"/>
      <w:lvlText w:val=""/>
      <w:lvlJc w:val="left"/>
      <w:pPr>
        <w:ind w:left="728" w:hanging="361"/>
      </w:pPr>
      <w:rPr>
        <w:rFonts w:hint="default" w:ascii="Symbol" w:hAnsi="Symbol" w:eastAsia="Symbol" w:cs="Symbol"/>
        <w:b w:val="0"/>
        <w:bCs w:val="0"/>
        <w:i w:val="0"/>
        <w:iCs w:val="0"/>
        <w:w w:val="102"/>
        <w:sz w:val="22"/>
        <w:szCs w:val="22"/>
        <w:lang w:val="en-US" w:eastAsia="en-US" w:bidi="ar-SA"/>
      </w:rPr>
    </w:lvl>
    <w:lvl w:ilvl="1" w:tplc="83FA8BFC">
      <w:numFmt w:val="bullet"/>
      <w:lvlText w:val="•"/>
      <w:lvlJc w:val="left"/>
      <w:pPr>
        <w:ind w:left="1727" w:hanging="361"/>
      </w:pPr>
      <w:rPr>
        <w:rFonts w:hint="default"/>
        <w:lang w:val="en-US" w:eastAsia="en-US" w:bidi="ar-SA"/>
      </w:rPr>
    </w:lvl>
    <w:lvl w:ilvl="2" w:tplc="CA62ACD6">
      <w:numFmt w:val="bullet"/>
      <w:lvlText w:val="•"/>
      <w:lvlJc w:val="left"/>
      <w:pPr>
        <w:ind w:left="2735" w:hanging="361"/>
      </w:pPr>
      <w:rPr>
        <w:rFonts w:hint="default"/>
        <w:lang w:val="en-US" w:eastAsia="en-US" w:bidi="ar-SA"/>
      </w:rPr>
    </w:lvl>
    <w:lvl w:ilvl="3" w:tplc="21CE2DEC">
      <w:numFmt w:val="bullet"/>
      <w:lvlText w:val="•"/>
      <w:lvlJc w:val="left"/>
      <w:pPr>
        <w:ind w:left="3743" w:hanging="361"/>
      </w:pPr>
      <w:rPr>
        <w:rFonts w:hint="default"/>
        <w:lang w:val="en-US" w:eastAsia="en-US" w:bidi="ar-SA"/>
      </w:rPr>
    </w:lvl>
    <w:lvl w:ilvl="4" w:tplc="0E682C18">
      <w:numFmt w:val="bullet"/>
      <w:lvlText w:val="•"/>
      <w:lvlJc w:val="left"/>
      <w:pPr>
        <w:ind w:left="4751" w:hanging="361"/>
      </w:pPr>
      <w:rPr>
        <w:rFonts w:hint="default"/>
        <w:lang w:val="en-US" w:eastAsia="en-US" w:bidi="ar-SA"/>
      </w:rPr>
    </w:lvl>
    <w:lvl w:ilvl="5" w:tplc="1E8EA6C8">
      <w:numFmt w:val="bullet"/>
      <w:lvlText w:val="•"/>
      <w:lvlJc w:val="left"/>
      <w:pPr>
        <w:ind w:left="5759" w:hanging="361"/>
      </w:pPr>
      <w:rPr>
        <w:rFonts w:hint="default"/>
        <w:lang w:val="en-US" w:eastAsia="en-US" w:bidi="ar-SA"/>
      </w:rPr>
    </w:lvl>
    <w:lvl w:ilvl="6" w:tplc="E70EAD2A">
      <w:numFmt w:val="bullet"/>
      <w:lvlText w:val="•"/>
      <w:lvlJc w:val="left"/>
      <w:pPr>
        <w:ind w:left="6766" w:hanging="361"/>
      </w:pPr>
      <w:rPr>
        <w:rFonts w:hint="default"/>
        <w:lang w:val="en-US" w:eastAsia="en-US" w:bidi="ar-SA"/>
      </w:rPr>
    </w:lvl>
    <w:lvl w:ilvl="7" w:tplc="C4884846">
      <w:numFmt w:val="bullet"/>
      <w:lvlText w:val="•"/>
      <w:lvlJc w:val="left"/>
      <w:pPr>
        <w:ind w:left="7774" w:hanging="361"/>
      </w:pPr>
      <w:rPr>
        <w:rFonts w:hint="default"/>
        <w:lang w:val="en-US" w:eastAsia="en-US" w:bidi="ar-SA"/>
      </w:rPr>
    </w:lvl>
    <w:lvl w:ilvl="8" w:tplc="042E9C7C">
      <w:numFmt w:val="bullet"/>
      <w:lvlText w:val="•"/>
      <w:lvlJc w:val="left"/>
      <w:pPr>
        <w:ind w:left="8782" w:hanging="361"/>
      </w:pPr>
      <w:rPr>
        <w:rFonts w:hint="default"/>
        <w:lang w:val="en-US" w:eastAsia="en-US" w:bidi="ar-SA"/>
      </w:rPr>
    </w:lvl>
  </w:abstractNum>
  <w:abstractNum w:abstractNumId="24" w15:restartNumberingAfterBreak="0">
    <w:nsid w:val="76F72A31"/>
    <w:multiLevelType w:val="hybridMultilevel"/>
    <w:tmpl w:val="C8A2874E"/>
    <w:lvl w:ilvl="0" w:tplc="31362DC2">
      <w:numFmt w:val="bullet"/>
      <w:lvlText w:val=""/>
      <w:lvlJc w:val="left"/>
      <w:pPr>
        <w:ind w:left="728" w:hanging="361"/>
      </w:pPr>
      <w:rPr>
        <w:rFonts w:hint="default" w:ascii="Symbol" w:hAnsi="Symbol" w:eastAsia="Symbol" w:cs="Symbol"/>
        <w:b w:val="0"/>
        <w:bCs w:val="0"/>
        <w:i w:val="0"/>
        <w:iCs w:val="0"/>
        <w:w w:val="102"/>
        <w:sz w:val="19"/>
        <w:szCs w:val="19"/>
        <w:lang w:val="en-US" w:eastAsia="en-US" w:bidi="ar-SA"/>
      </w:rPr>
    </w:lvl>
    <w:lvl w:ilvl="1" w:tplc="D2442EC4">
      <w:numFmt w:val="bullet"/>
      <w:lvlText w:val="•"/>
      <w:lvlJc w:val="left"/>
      <w:pPr>
        <w:ind w:left="958" w:hanging="361"/>
      </w:pPr>
      <w:rPr>
        <w:rFonts w:hint="default"/>
        <w:lang w:val="en-US" w:eastAsia="en-US" w:bidi="ar-SA"/>
      </w:rPr>
    </w:lvl>
    <w:lvl w:ilvl="2" w:tplc="8E8AC72A">
      <w:numFmt w:val="bullet"/>
      <w:lvlText w:val="•"/>
      <w:lvlJc w:val="left"/>
      <w:pPr>
        <w:ind w:left="1197" w:hanging="361"/>
      </w:pPr>
      <w:rPr>
        <w:rFonts w:hint="default"/>
        <w:lang w:val="en-US" w:eastAsia="en-US" w:bidi="ar-SA"/>
      </w:rPr>
    </w:lvl>
    <w:lvl w:ilvl="3" w:tplc="29B0A25A">
      <w:numFmt w:val="bullet"/>
      <w:lvlText w:val="•"/>
      <w:lvlJc w:val="left"/>
      <w:pPr>
        <w:ind w:left="1436" w:hanging="361"/>
      </w:pPr>
      <w:rPr>
        <w:rFonts w:hint="default"/>
        <w:lang w:val="en-US" w:eastAsia="en-US" w:bidi="ar-SA"/>
      </w:rPr>
    </w:lvl>
    <w:lvl w:ilvl="4" w:tplc="D89EC10C">
      <w:numFmt w:val="bullet"/>
      <w:lvlText w:val="•"/>
      <w:lvlJc w:val="left"/>
      <w:pPr>
        <w:ind w:left="1675" w:hanging="361"/>
      </w:pPr>
      <w:rPr>
        <w:rFonts w:hint="default"/>
        <w:lang w:val="en-US" w:eastAsia="en-US" w:bidi="ar-SA"/>
      </w:rPr>
    </w:lvl>
    <w:lvl w:ilvl="5" w:tplc="82B86434">
      <w:numFmt w:val="bullet"/>
      <w:lvlText w:val="•"/>
      <w:lvlJc w:val="left"/>
      <w:pPr>
        <w:ind w:left="1914" w:hanging="361"/>
      </w:pPr>
      <w:rPr>
        <w:rFonts w:hint="default"/>
        <w:lang w:val="en-US" w:eastAsia="en-US" w:bidi="ar-SA"/>
      </w:rPr>
    </w:lvl>
    <w:lvl w:ilvl="6" w:tplc="AD8E9658">
      <w:numFmt w:val="bullet"/>
      <w:lvlText w:val="•"/>
      <w:lvlJc w:val="left"/>
      <w:pPr>
        <w:ind w:left="2153" w:hanging="361"/>
      </w:pPr>
      <w:rPr>
        <w:rFonts w:hint="default"/>
        <w:lang w:val="en-US" w:eastAsia="en-US" w:bidi="ar-SA"/>
      </w:rPr>
    </w:lvl>
    <w:lvl w:ilvl="7" w:tplc="5AD27F96">
      <w:numFmt w:val="bullet"/>
      <w:lvlText w:val="•"/>
      <w:lvlJc w:val="left"/>
      <w:pPr>
        <w:ind w:left="2392" w:hanging="361"/>
      </w:pPr>
      <w:rPr>
        <w:rFonts w:hint="default"/>
        <w:lang w:val="en-US" w:eastAsia="en-US" w:bidi="ar-SA"/>
      </w:rPr>
    </w:lvl>
    <w:lvl w:ilvl="8" w:tplc="0F9A08E4">
      <w:numFmt w:val="bullet"/>
      <w:lvlText w:val="•"/>
      <w:lvlJc w:val="left"/>
      <w:pPr>
        <w:ind w:left="2631" w:hanging="361"/>
      </w:pPr>
      <w:rPr>
        <w:rFonts w:hint="default"/>
        <w:lang w:val="en-US" w:eastAsia="en-US" w:bidi="ar-SA"/>
      </w:rPr>
    </w:lvl>
  </w:abstractNum>
  <w:abstractNum w:abstractNumId="25" w15:restartNumberingAfterBreak="0">
    <w:nsid w:val="79243816"/>
    <w:multiLevelType w:val="hybridMultilevel"/>
    <w:tmpl w:val="B60092F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7BAC5496"/>
    <w:multiLevelType w:val="multilevel"/>
    <w:tmpl w:val="AE243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0333076">
    <w:abstractNumId w:val="10"/>
  </w:num>
  <w:num w:numId="2" w16cid:durableId="1127818565">
    <w:abstractNumId w:val="12"/>
  </w:num>
  <w:num w:numId="3" w16cid:durableId="1309283787">
    <w:abstractNumId w:val="13"/>
  </w:num>
  <w:num w:numId="4" w16cid:durableId="451438646">
    <w:abstractNumId w:val="24"/>
  </w:num>
  <w:num w:numId="5" w16cid:durableId="64426407">
    <w:abstractNumId w:val="3"/>
  </w:num>
  <w:num w:numId="6" w16cid:durableId="162088873">
    <w:abstractNumId w:val="5"/>
  </w:num>
  <w:num w:numId="7" w16cid:durableId="1806654224">
    <w:abstractNumId w:val="14"/>
  </w:num>
  <w:num w:numId="8" w16cid:durableId="1649935908">
    <w:abstractNumId w:val="19"/>
  </w:num>
  <w:num w:numId="9" w16cid:durableId="1080445772">
    <w:abstractNumId w:val="23"/>
  </w:num>
  <w:num w:numId="10" w16cid:durableId="703942418">
    <w:abstractNumId w:val="15"/>
  </w:num>
  <w:num w:numId="11" w16cid:durableId="2112509349">
    <w:abstractNumId w:val="1"/>
  </w:num>
  <w:num w:numId="12" w16cid:durableId="1562866579">
    <w:abstractNumId w:val="2"/>
  </w:num>
  <w:num w:numId="13" w16cid:durableId="1471509621">
    <w:abstractNumId w:val="22"/>
  </w:num>
  <w:num w:numId="14" w16cid:durableId="1608853969">
    <w:abstractNumId w:val="0"/>
  </w:num>
  <w:num w:numId="15" w16cid:durableId="1717075903">
    <w:abstractNumId w:val="11"/>
  </w:num>
  <w:num w:numId="16" w16cid:durableId="1985885935">
    <w:abstractNumId w:val="9"/>
  </w:num>
  <w:num w:numId="17" w16cid:durableId="31810753">
    <w:abstractNumId w:val="4"/>
  </w:num>
  <w:num w:numId="18" w16cid:durableId="1033307041">
    <w:abstractNumId w:val="21"/>
  </w:num>
  <w:num w:numId="19" w16cid:durableId="792863548">
    <w:abstractNumId w:val="25"/>
  </w:num>
  <w:num w:numId="20" w16cid:durableId="1821968590">
    <w:abstractNumId w:val="26"/>
  </w:num>
  <w:num w:numId="21" w16cid:durableId="600575922">
    <w:abstractNumId w:val="17"/>
  </w:num>
  <w:num w:numId="22" w16cid:durableId="1640497545">
    <w:abstractNumId w:val="20"/>
  </w:num>
  <w:num w:numId="23" w16cid:durableId="1426612054">
    <w:abstractNumId w:val="8"/>
  </w:num>
  <w:num w:numId="24" w16cid:durableId="217788416">
    <w:abstractNumId w:val="7"/>
  </w:num>
  <w:num w:numId="25" w16cid:durableId="1233738820">
    <w:abstractNumId w:val="18"/>
  </w:num>
  <w:num w:numId="26" w16cid:durableId="1244532769">
    <w:abstractNumId w:val="16"/>
  </w:num>
  <w:num w:numId="27" w16cid:durableId="3546251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A1"/>
    <w:rsid w:val="00000000"/>
    <w:rsid w:val="0001485B"/>
    <w:rsid w:val="00203C99"/>
    <w:rsid w:val="002D2CC5"/>
    <w:rsid w:val="002D3014"/>
    <w:rsid w:val="006607A1"/>
    <w:rsid w:val="0067284E"/>
    <w:rsid w:val="007A3E6A"/>
    <w:rsid w:val="007C0E95"/>
    <w:rsid w:val="007C774D"/>
    <w:rsid w:val="007D3C75"/>
    <w:rsid w:val="00824A4A"/>
    <w:rsid w:val="00A82615"/>
    <w:rsid w:val="00B16AD2"/>
    <w:rsid w:val="00B250F1"/>
    <w:rsid w:val="00BD0040"/>
    <w:rsid w:val="00C81746"/>
    <w:rsid w:val="00DE2465"/>
    <w:rsid w:val="00EE458A"/>
    <w:rsid w:val="00F949A4"/>
    <w:rsid w:val="5430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6915"/>
  <w15:docId w15:val="{400BA20C-7665-4E9C-B778-30D94EB5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before="10"/>
    </w:pPr>
    <w:rPr>
      <w:b/>
      <w:bCs/>
    </w:rPr>
  </w:style>
  <w:style w:type="paragraph" w:styleId="ListParagraph">
    <w:name w:val="List Paragraph"/>
    <w:basedOn w:val="Normal"/>
    <w:uiPriority w:val="1"/>
    <w:qFormat/>
  </w:style>
  <w:style w:type="paragraph" w:styleId="TableParagraph" w:customStyle="1">
    <w:name w:val="Table Paragraph"/>
    <w:basedOn w:val="Normal"/>
    <w:uiPriority w:val="1"/>
    <w:qFormat/>
    <w:pPr>
      <w:ind w:left="728"/>
    </w:pPr>
  </w:style>
  <w:style w:type="paragraph" w:styleId="NoSpacing">
    <w:name w:val="No Spacing"/>
    <w:link w:val="NoSpacingChar"/>
    <w:uiPriority w:val="1"/>
    <w:qFormat/>
    <w:rsid w:val="00A82615"/>
    <w:pPr>
      <w:widowControl/>
      <w:autoSpaceDE/>
      <w:autoSpaceDN/>
    </w:pPr>
  </w:style>
  <w:style w:type="character" w:styleId="NoSpacingChar" w:customStyle="1">
    <w:name w:val="No Spacing Char"/>
    <w:basedOn w:val="DefaultParagraphFont"/>
    <w:link w:val="NoSpacing"/>
    <w:uiPriority w:val="1"/>
    <w:rsid w:val="00A82615"/>
  </w:style>
  <w:style w:type="character" w:styleId="normaltextrun" w:customStyle="1">
    <w:name w:val="normaltextrun"/>
    <w:basedOn w:val="DefaultParagraphFont"/>
    <w:rsid w:val="00DE2465"/>
  </w:style>
  <w:style w:type="paragraph" w:styleId="paragraph" w:customStyle="1">
    <w:name w:val="paragraph"/>
    <w:basedOn w:val="Normal"/>
    <w:rsid w:val="00DE2465"/>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eop" w:customStyle="1">
    <w:name w:val="eop"/>
    <w:basedOn w:val="DefaultParagraphFont"/>
    <w:rsid w:val="00DE2465"/>
  </w:style>
  <w:style w:type="character" w:styleId="contextualspellingandgrammarerror" w:customStyle="1">
    <w:name w:val="contextualspellingandgrammarerror"/>
    <w:basedOn w:val="DefaultParagraphFont"/>
    <w:rsid w:val="00DE2465"/>
  </w:style>
  <w:style w:type="character" w:styleId="advancedproofingissue" w:customStyle="1">
    <w:name w:val="advancedproofingissue"/>
    <w:basedOn w:val="DefaultParagraphFont"/>
    <w:rsid w:val="00DE2465"/>
  </w:style>
  <w:style w:type="character" w:styleId="Hyperlink">
    <w:name w:val="Hyperlink"/>
    <w:basedOn w:val="DefaultParagraphFont"/>
    <w:uiPriority w:val="99"/>
    <w:unhideWhenUsed/>
    <w:rsid w:val="000148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890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8" ma:contentTypeDescription="Create a new document." ma:contentTypeScope="" ma:versionID="4f2e06063df24f11af6e2de6aec62cce">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1c65a95bc1bb46aad3ed42a97f8ecf3f"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FC0755-126E-41A3-890D-37907CEBFBF9}"/>
</file>

<file path=customXml/itemProps2.xml><?xml version="1.0" encoding="utf-8"?>
<ds:datastoreItem xmlns:ds="http://schemas.openxmlformats.org/officeDocument/2006/customXml" ds:itemID="{55289E41-32EA-48D1-BA93-7B6D915B98DA}"/>
</file>

<file path=customXml/itemProps3.xml><?xml version="1.0" encoding="utf-8"?>
<ds:datastoreItem xmlns:ds="http://schemas.openxmlformats.org/officeDocument/2006/customXml" ds:itemID="{53C06385-26EB-465D-9731-07BCCC3BDA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Glassco, Mackenzie (DBHDS)</dc:creator>
  <cp:lastModifiedBy>Glassco, Mackenzie (DBHDS)</cp:lastModifiedBy>
  <cp:revision>6</cp:revision>
  <dcterms:created xsi:type="dcterms:W3CDTF">2024-01-23T21:52:00Z</dcterms:created>
  <dcterms:modified xsi:type="dcterms:W3CDTF">2024-01-31T10:16:41Z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2024-01-17T00:00:00Z</vt:filetime>
  </property>
  <property fmtid="{D5CDD505-2E9C-101B-9397-08002B2CF9AE}" pid="3" name="LastSaved">
    <vt:filetime>2024-01-23T00:00:00Z</vt:filetime>
  </property>
  <property fmtid="{D5CDD505-2E9C-101B-9397-08002B2CF9AE}" pid="4" name="ContentTypeId">
    <vt:lpwstr>0x010100EE8E83F1E7C37644A1218A8ADAF8D0EA</vt:lpwstr>
  </property>
</Properties>
</file>